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E4AB2" w14:textId="369E89B2" w:rsidR="008D4215" w:rsidRPr="008A143D" w:rsidRDefault="008D4215" w:rsidP="0071352E">
      <w:pPr>
        <w:spacing w:before="480"/>
        <w:rPr>
          <w:color w:val="292748" w:themeColor="text1"/>
          <w:sz w:val="72"/>
          <w:szCs w:val="72"/>
        </w:rPr>
      </w:pPr>
    </w:p>
    <w:p w14:paraId="49790C7B" w14:textId="77777777" w:rsidR="008D4215" w:rsidRPr="000F4DA4" w:rsidRDefault="008D4215" w:rsidP="0071352E">
      <w:pPr>
        <w:spacing w:before="480"/>
        <w:rPr>
          <w:color w:val="292748" w:themeColor="text1"/>
          <w:sz w:val="72"/>
          <w:szCs w:val="72"/>
        </w:rPr>
      </w:pPr>
    </w:p>
    <w:p w14:paraId="1EA0FCFF" w14:textId="77777777" w:rsidR="008D4215" w:rsidRDefault="008D4215" w:rsidP="0071352E">
      <w:pPr>
        <w:spacing w:before="480"/>
        <w:rPr>
          <w:color w:val="292748" w:themeColor="text1"/>
          <w:sz w:val="72"/>
          <w:szCs w:val="72"/>
        </w:rPr>
      </w:pPr>
    </w:p>
    <w:p w14:paraId="2C10D999" w14:textId="25B7D7E7" w:rsidR="0071352E" w:rsidRDefault="00B70F00" w:rsidP="0071352E">
      <w:pPr>
        <w:spacing w:before="480"/>
        <w:rPr>
          <w:color w:val="292748" w:themeColor="text1"/>
          <w:sz w:val="72"/>
          <w:szCs w:val="72"/>
        </w:rPr>
      </w:pPr>
      <w:r>
        <w:rPr>
          <w:color w:val="292748" w:themeColor="text1"/>
          <w:sz w:val="72"/>
          <w:szCs w:val="72"/>
        </w:rPr>
        <w:t xml:space="preserve">Инвестиционная деятельность в Санкт-Петербурге </w:t>
      </w:r>
      <w:r>
        <w:rPr>
          <w:color w:val="292748" w:themeColor="text1"/>
          <w:sz w:val="72"/>
          <w:szCs w:val="72"/>
        </w:rPr>
        <w:br/>
        <w:t>в</w:t>
      </w:r>
      <w:r w:rsidR="00792942">
        <w:rPr>
          <w:color w:val="292748" w:themeColor="text1"/>
          <w:sz w:val="72"/>
          <w:szCs w:val="72"/>
        </w:rPr>
        <w:t xml:space="preserve"> январе </w:t>
      </w:r>
      <w:r w:rsidR="00792942" w:rsidRPr="00792942">
        <w:rPr>
          <w:sz w:val="72"/>
          <w:szCs w:val="72"/>
        </w:rPr>
        <w:t>–</w:t>
      </w:r>
      <w:r w:rsidR="00792942">
        <w:rPr>
          <w:color w:val="292748" w:themeColor="text1"/>
          <w:sz w:val="72"/>
          <w:szCs w:val="72"/>
        </w:rPr>
        <w:t xml:space="preserve"> </w:t>
      </w:r>
      <w:r w:rsidR="00947675">
        <w:rPr>
          <w:color w:val="292748" w:themeColor="text1"/>
          <w:sz w:val="72"/>
          <w:szCs w:val="72"/>
        </w:rPr>
        <w:t>июне</w:t>
      </w:r>
      <w:r>
        <w:rPr>
          <w:color w:val="292748" w:themeColor="text1"/>
          <w:sz w:val="72"/>
          <w:szCs w:val="72"/>
        </w:rPr>
        <w:t> 202</w:t>
      </w:r>
      <w:r w:rsidR="00792942">
        <w:rPr>
          <w:color w:val="292748" w:themeColor="text1"/>
          <w:sz w:val="72"/>
          <w:szCs w:val="72"/>
        </w:rPr>
        <w:t>4</w:t>
      </w:r>
      <w:r>
        <w:rPr>
          <w:color w:val="292748" w:themeColor="text1"/>
          <w:sz w:val="72"/>
          <w:szCs w:val="72"/>
        </w:rPr>
        <w:t xml:space="preserve"> год</w:t>
      </w:r>
      <w:r w:rsidR="00792942">
        <w:rPr>
          <w:color w:val="292748" w:themeColor="text1"/>
          <w:sz w:val="72"/>
          <w:szCs w:val="72"/>
        </w:rPr>
        <w:t>а</w:t>
      </w:r>
    </w:p>
    <w:p w14:paraId="681441EE" w14:textId="521B8CA3" w:rsidR="0071352E" w:rsidRDefault="00B70F00" w:rsidP="0071352E">
      <w:pPr>
        <w:rPr>
          <w:sz w:val="28"/>
          <w:szCs w:val="28"/>
        </w:rPr>
      </w:pPr>
      <w:r>
        <w:rPr>
          <w:color w:val="292748" w:themeColor="text1"/>
          <w:sz w:val="44"/>
          <w:szCs w:val="44"/>
        </w:rPr>
        <w:t>аналитическая справка</w:t>
      </w:r>
      <w:r w:rsidR="0071352E">
        <w:rPr>
          <w:sz w:val="28"/>
          <w:szCs w:val="28"/>
        </w:rPr>
        <w:tab/>
      </w:r>
    </w:p>
    <w:p w14:paraId="2305806B" w14:textId="251C5214" w:rsidR="00B70F00" w:rsidRDefault="00B70F00" w:rsidP="0071352E">
      <w:pPr>
        <w:rPr>
          <w:sz w:val="28"/>
          <w:szCs w:val="28"/>
        </w:rPr>
      </w:pPr>
    </w:p>
    <w:p w14:paraId="4A858E80" w14:textId="00B8980D" w:rsidR="00B70F00" w:rsidRDefault="00B70F00" w:rsidP="0071352E">
      <w:pPr>
        <w:rPr>
          <w:sz w:val="28"/>
          <w:szCs w:val="28"/>
        </w:rPr>
      </w:pPr>
    </w:p>
    <w:p w14:paraId="44ADCC24" w14:textId="5A7D5B5E" w:rsidR="00B70F00" w:rsidRDefault="00B70F00" w:rsidP="0071352E">
      <w:pPr>
        <w:rPr>
          <w:sz w:val="28"/>
          <w:szCs w:val="28"/>
        </w:rPr>
      </w:pPr>
    </w:p>
    <w:p w14:paraId="162705BC" w14:textId="7213B5F1" w:rsidR="00B70F00" w:rsidRDefault="00B70F00" w:rsidP="0071352E">
      <w:pPr>
        <w:rPr>
          <w:sz w:val="28"/>
          <w:szCs w:val="28"/>
        </w:rPr>
      </w:pPr>
    </w:p>
    <w:p w14:paraId="7937C4AD" w14:textId="6B8110DD" w:rsidR="00B70F00" w:rsidRDefault="00B70F00" w:rsidP="0071352E">
      <w:pPr>
        <w:rPr>
          <w:sz w:val="28"/>
          <w:szCs w:val="28"/>
        </w:rPr>
      </w:pPr>
    </w:p>
    <w:p w14:paraId="5170DD67" w14:textId="71EAA0A4" w:rsidR="00B70F00" w:rsidRDefault="00B70F00" w:rsidP="0071352E">
      <w:pPr>
        <w:rPr>
          <w:sz w:val="28"/>
          <w:szCs w:val="28"/>
        </w:rPr>
      </w:pPr>
    </w:p>
    <w:p w14:paraId="5121A6D1" w14:textId="130987DB" w:rsidR="00B70F00" w:rsidRDefault="00B70F00" w:rsidP="0071352E">
      <w:pPr>
        <w:rPr>
          <w:sz w:val="28"/>
          <w:szCs w:val="28"/>
        </w:rPr>
      </w:pPr>
    </w:p>
    <w:p w14:paraId="6FAD8D8F" w14:textId="701C9F35" w:rsidR="00B70F00" w:rsidRDefault="00B70F00" w:rsidP="0071352E">
      <w:pPr>
        <w:rPr>
          <w:sz w:val="28"/>
          <w:szCs w:val="28"/>
        </w:rPr>
      </w:pPr>
    </w:p>
    <w:p w14:paraId="1514A2A0" w14:textId="53AF9D08" w:rsidR="00B70F00" w:rsidRDefault="00B70F00" w:rsidP="0071352E">
      <w:pPr>
        <w:rPr>
          <w:sz w:val="28"/>
          <w:szCs w:val="28"/>
        </w:rPr>
      </w:pPr>
    </w:p>
    <w:p w14:paraId="13280BA2" w14:textId="02530386" w:rsidR="00B70F00" w:rsidRDefault="00B70F00" w:rsidP="0071352E">
      <w:pPr>
        <w:rPr>
          <w:sz w:val="28"/>
          <w:szCs w:val="28"/>
        </w:rPr>
      </w:pPr>
    </w:p>
    <w:p w14:paraId="45BACB99" w14:textId="2A2194F6" w:rsidR="00B70F00" w:rsidRDefault="00B70F00" w:rsidP="0071352E">
      <w:pPr>
        <w:rPr>
          <w:sz w:val="28"/>
          <w:szCs w:val="28"/>
        </w:rPr>
      </w:pPr>
    </w:p>
    <w:p w14:paraId="655C6CD1" w14:textId="25C78AC2" w:rsidR="00B70F00" w:rsidRDefault="00B70F00" w:rsidP="0071352E">
      <w:pPr>
        <w:rPr>
          <w:sz w:val="28"/>
          <w:szCs w:val="28"/>
        </w:rPr>
      </w:pPr>
    </w:p>
    <w:p w14:paraId="7798CBDE" w14:textId="71656F01" w:rsidR="00B70F00" w:rsidRPr="00C732B0" w:rsidRDefault="00B70F00" w:rsidP="00904B9D">
      <w:pPr>
        <w:spacing w:after="0" w:line="276" w:lineRule="auto"/>
        <w:ind w:firstLine="567"/>
        <w:jc w:val="both"/>
        <w:rPr>
          <w:b/>
          <w:sz w:val="24"/>
          <w:szCs w:val="24"/>
        </w:rPr>
      </w:pPr>
      <w:r w:rsidRPr="00BF36A9">
        <w:rPr>
          <w:b/>
          <w:sz w:val="24"/>
          <w:szCs w:val="24"/>
        </w:rPr>
        <w:lastRenderedPageBreak/>
        <w:t>1</w:t>
      </w:r>
      <w:r w:rsidRPr="00C732B0">
        <w:rPr>
          <w:b/>
          <w:sz w:val="24"/>
          <w:szCs w:val="24"/>
        </w:rPr>
        <w:t>. Инвестиции в основной капитал организаций</w:t>
      </w:r>
    </w:p>
    <w:p w14:paraId="3BD1EF3F" w14:textId="77777777" w:rsidR="00B70F00" w:rsidRPr="00C732B0" w:rsidRDefault="00B70F00" w:rsidP="00D640ED">
      <w:pPr>
        <w:spacing w:after="0" w:line="240" w:lineRule="auto"/>
        <w:ind w:firstLine="709"/>
        <w:jc w:val="both"/>
        <w:rPr>
          <w:b/>
          <w:sz w:val="10"/>
          <w:szCs w:val="10"/>
        </w:rPr>
      </w:pPr>
    </w:p>
    <w:p w14:paraId="7FD4176E" w14:textId="324724AD" w:rsidR="00B70F00" w:rsidRPr="003206E6" w:rsidRDefault="00B70F00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 w:rsidRPr="00C732B0">
        <w:rPr>
          <w:sz w:val="24"/>
          <w:szCs w:val="24"/>
        </w:rPr>
        <w:t xml:space="preserve">В </w:t>
      </w:r>
      <w:r w:rsidR="00CB3395">
        <w:rPr>
          <w:sz w:val="24"/>
          <w:szCs w:val="24"/>
        </w:rPr>
        <w:t>я</w:t>
      </w:r>
      <w:r w:rsidR="00172144">
        <w:rPr>
          <w:sz w:val="24"/>
          <w:szCs w:val="24"/>
        </w:rPr>
        <w:t>н</w:t>
      </w:r>
      <w:r w:rsidR="00CB3395">
        <w:rPr>
          <w:sz w:val="24"/>
          <w:szCs w:val="24"/>
        </w:rPr>
        <w:t xml:space="preserve">варе – </w:t>
      </w:r>
      <w:r w:rsidR="00EF4E59">
        <w:rPr>
          <w:sz w:val="24"/>
          <w:szCs w:val="24"/>
        </w:rPr>
        <w:t>июне</w:t>
      </w:r>
      <w:r w:rsidR="00CB3395">
        <w:rPr>
          <w:sz w:val="24"/>
          <w:szCs w:val="24"/>
        </w:rPr>
        <w:t xml:space="preserve"> </w:t>
      </w:r>
      <w:r w:rsidRPr="00C732B0">
        <w:rPr>
          <w:sz w:val="24"/>
          <w:szCs w:val="24"/>
        </w:rPr>
        <w:t>202</w:t>
      </w:r>
      <w:r w:rsidR="00CB3395">
        <w:rPr>
          <w:sz w:val="24"/>
          <w:szCs w:val="24"/>
        </w:rPr>
        <w:t>4</w:t>
      </w:r>
      <w:r w:rsidRPr="00C732B0">
        <w:rPr>
          <w:sz w:val="24"/>
          <w:szCs w:val="24"/>
        </w:rPr>
        <w:t xml:space="preserve"> год</w:t>
      </w:r>
      <w:r w:rsidR="00CB3395">
        <w:rPr>
          <w:sz w:val="24"/>
          <w:szCs w:val="24"/>
        </w:rPr>
        <w:t>а</w:t>
      </w:r>
      <w:r w:rsidRPr="00C732B0">
        <w:rPr>
          <w:sz w:val="24"/>
          <w:szCs w:val="24"/>
        </w:rPr>
        <w:t xml:space="preserve"> по полному кругу предприятий, ос</w:t>
      </w:r>
      <w:r w:rsidRPr="003206E6">
        <w:rPr>
          <w:sz w:val="24"/>
          <w:szCs w:val="24"/>
        </w:rPr>
        <w:t xml:space="preserve">уществляющих инвестиционную деятельность на территории Санкт-Петербурга, в экономику города </w:t>
      </w:r>
      <w:r w:rsidR="003D0366">
        <w:rPr>
          <w:sz w:val="24"/>
          <w:szCs w:val="24"/>
        </w:rPr>
        <w:t>вложено</w:t>
      </w:r>
      <w:r w:rsidRPr="003206E6">
        <w:rPr>
          <w:sz w:val="24"/>
          <w:szCs w:val="24"/>
        </w:rPr>
        <w:t xml:space="preserve"> </w:t>
      </w:r>
      <w:r w:rsidR="00EF4E59">
        <w:rPr>
          <w:sz w:val="24"/>
          <w:szCs w:val="24"/>
        </w:rPr>
        <w:t>579</w:t>
      </w:r>
      <w:r w:rsidR="00CB3395">
        <w:rPr>
          <w:sz w:val="24"/>
          <w:szCs w:val="24"/>
        </w:rPr>
        <w:t>,9</w:t>
      </w:r>
      <w:r w:rsidR="00D35650">
        <w:rPr>
          <w:sz w:val="24"/>
          <w:szCs w:val="24"/>
        </w:rPr>
        <w:t> </w:t>
      </w:r>
      <w:r w:rsidRPr="003206E6">
        <w:rPr>
          <w:sz w:val="24"/>
          <w:szCs w:val="24"/>
        </w:rPr>
        <w:t>млрд руб. инвестиций в основной капитал за счет всех источников финансирования (рис. 1). Индекс физического объема (далее – ИФО), от</w:t>
      </w:r>
      <w:r w:rsidR="00F11A15">
        <w:rPr>
          <w:sz w:val="24"/>
          <w:szCs w:val="24"/>
        </w:rPr>
        <w:t xml:space="preserve">ражающий изменение инвестиций к </w:t>
      </w:r>
      <w:r w:rsidR="00B75F45">
        <w:rPr>
          <w:sz w:val="24"/>
          <w:szCs w:val="24"/>
        </w:rPr>
        <w:t>предыдущему</w:t>
      </w:r>
      <w:r w:rsidRPr="003206E6">
        <w:rPr>
          <w:sz w:val="24"/>
          <w:szCs w:val="24"/>
        </w:rPr>
        <w:t xml:space="preserve"> год</w:t>
      </w:r>
      <w:r w:rsidR="00B75F45">
        <w:rPr>
          <w:sz w:val="24"/>
          <w:szCs w:val="24"/>
        </w:rPr>
        <w:t xml:space="preserve">у </w:t>
      </w:r>
      <w:r w:rsidRPr="003206E6">
        <w:rPr>
          <w:sz w:val="24"/>
          <w:szCs w:val="24"/>
        </w:rPr>
        <w:t xml:space="preserve">в постоянных ценах, составил </w:t>
      </w:r>
      <w:r w:rsidR="006D5140">
        <w:rPr>
          <w:sz w:val="24"/>
          <w:szCs w:val="24"/>
        </w:rPr>
        <w:t>1</w:t>
      </w:r>
      <w:r w:rsidR="00CB3395">
        <w:rPr>
          <w:sz w:val="24"/>
          <w:szCs w:val="24"/>
        </w:rPr>
        <w:t>26,</w:t>
      </w:r>
      <w:r w:rsidR="00EF4E59">
        <w:rPr>
          <w:sz w:val="24"/>
          <w:szCs w:val="24"/>
        </w:rPr>
        <w:t>4</w:t>
      </w:r>
      <w:r w:rsidRPr="003206E6">
        <w:rPr>
          <w:sz w:val="24"/>
          <w:szCs w:val="24"/>
        </w:rPr>
        <w:t>%.</w:t>
      </w:r>
    </w:p>
    <w:p w14:paraId="6DFD773F" w14:textId="4B3C1E02" w:rsidR="00B70F00" w:rsidRDefault="00B70F00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 w:rsidRPr="003206E6">
        <w:rPr>
          <w:sz w:val="24"/>
          <w:szCs w:val="24"/>
        </w:rPr>
        <w:t xml:space="preserve">Объем инвестиций в основной капитал </w:t>
      </w:r>
      <w:r w:rsidRPr="003206E6">
        <w:rPr>
          <w:i/>
          <w:sz w:val="24"/>
          <w:szCs w:val="24"/>
        </w:rPr>
        <w:t>крупных и средних предприятий</w:t>
      </w:r>
      <w:r w:rsidR="003D401B" w:rsidRPr="003206E6">
        <w:rPr>
          <w:sz w:val="24"/>
          <w:szCs w:val="24"/>
        </w:rPr>
        <w:t xml:space="preserve"> в отчетном периоде составил</w:t>
      </w:r>
      <w:r w:rsidRPr="003206E6">
        <w:rPr>
          <w:sz w:val="24"/>
          <w:szCs w:val="24"/>
        </w:rPr>
        <w:t xml:space="preserve"> </w:t>
      </w:r>
      <w:r w:rsidR="00EF4E59">
        <w:rPr>
          <w:sz w:val="24"/>
          <w:szCs w:val="24"/>
        </w:rPr>
        <w:t xml:space="preserve">466,4 </w:t>
      </w:r>
      <w:r w:rsidR="00EB244B">
        <w:rPr>
          <w:sz w:val="24"/>
          <w:szCs w:val="24"/>
        </w:rPr>
        <w:t xml:space="preserve">млрд руб., что соответствует </w:t>
      </w:r>
      <w:r w:rsidR="00EF4E59">
        <w:rPr>
          <w:sz w:val="24"/>
          <w:szCs w:val="24"/>
        </w:rPr>
        <w:t>80,4</w:t>
      </w:r>
      <w:r w:rsidRPr="003206E6">
        <w:rPr>
          <w:sz w:val="24"/>
          <w:szCs w:val="24"/>
        </w:rPr>
        <w:t>% от суммы инвестиций по всем источникам (доля крупных и</w:t>
      </w:r>
      <w:r w:rsidR="003D401B" w:rsidRPr="003206E6">
        <w:rPr>
          <w:sz w:val="24"/>
          <w:szCs w:val="24"/>
        </w:rPr>
        <w:t> </w:t>
      </w:r>
      <w:r w:rsidRPr="003206E6">
        <w:rPr>
          <w:sz w:val="24"/>
          <w:szCs w:val="24"/>
        </w:rPr>
        <w:t xml:space="preserve">средних предприятий в общем объеме инвестиций в основной капитал традиционно составляет около 60–75%). ИФО по этому показателю составил </w:t>
      </w:r>
      <w:r w:rsidR="00EF4E59">
        <w:rPr>
          <w:sz w:val="24"/>
          <w:szCs w:val="24"/>
        </w:rPr>
        <w:t>130,5</w:t>
      </w:r>
      <w:r w:rsidRPr="003206E6">
        <w:rPr>
          <w:sz w:val="24"/>
          <w:szCs w:val="24"/>
        </w:rPr>
        <w:t>%.</w:t>
      </w:r>
    </w:p>
    <w:p w14:paraId="16FE2FEB" w14:textId="2DF4317B" w:rsidR="00D640ED" w:rsidRPr="00D640ED" w:rsidRDefault="00D640ED" w:rsidP="00E24791">
      <w:pPr>
        <w:spacing w:before="240" w:after="0" w:line="240" w:lineRule="auto"/>
        <w:jc w:val="center"/>
        <w:rPr>
          <w:szCs w:val="24"/>
        </w:rPr>
      </w:pPr>
      <w:r w:rsidRPr="00D640ED">
        <w:rPr>
          <w:b/>
          <w:bCs/>
          <w:szCs w:val="24"/>
        </w:rPr>
        <w:t>Рис. 1. Динамика инвестиций в основной капитал по полному кругу предприятий в текущих ценах</w:t>
      </w:r>
      <w:r w:rsidR="00BE706F">
        <w:rPr>
          <w:b/>
          <w:bCs/>
          <w:szCs w:val="24"/>
        </w:rPr>
        <w:t xml:space="preserve"> </w:t>
      </w:r>
      <w:r w:rsidR="00BE706F">
        <w:rPr>
          <w:b/>
          <w:bCs/>
          <w:szCs w:val="24"/>
        </w:rPr>
        <w:br/>
        <w:t xml:space="preserve">за январь – </w:t>
      </w:r>
      <w:r w:rsidR="00D547B5">
        <w:rPr>
          <w:b/>
          <w:bCs/>
          <w:szCs w:val="24"/>
        </w:rPr>
        <w:t>июнь</w:t>
      </w:r>
    </w:p>
    <w:p w14:paraId="4066C9EF" w14:textId="5595DCC7" w:rsidR="003D401B" w:rsidRDefault="003D401B" w:rsidP="00E24791">
      <w:pPr>
        <w:spacing w:before="240" w:after="0" w:line="240" w:lineRule="auto"/>
        <w:jc w:val="center"/>
        <w:rPr>
          <w:strike/>
          <w:sz w:val="24"/>
          <w:szCs w:val="24"/>
        </w:rPr>
      </w:pPr>
      <w:r w:rsidRPr="00D42653">
        <w:rPr>
          <w:noProof/>
          <w:color w:val="006600"/>
          <w:sz w:val="24"/>
          <w:szCs w:val="24"/>
          <w:shd w:val="clear" w:color="auto" w:fill="B4C8D9" w:themeFill="text2" w:themeFillTint="40"/>
          <w:lang w:eastAsia="ru-RU"/>
        </w:rPr>
        <w:drawing>
          <wp:inline distT="0" distB="0" distL="0" distR="0" wp14:anchorId="71439E0C" wp14:editId="2F9AACC1">
            <wp:extent cx="6445250" cy="28384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FD48EF1" w14:textId="21742DF2" w:rsidR="00B70F00" w:rsidRPr="00C732B0" w:rsidRDefault="00B70F00" w:rsidP="00E24791">
      <w:pPr>
        <w:spacing w:line="240" w:lineRule="auto"/>
        <w:jc w:val="center"/>
        <w:rPr>
          <w:i/>
          <w:sz w:val="20"/>
          <w:szCs w:val="20"/>
        </w:rPr>
      </w:pPr>
      <w:r w:rsidRPr="00C732B0">
        <w:rPr>
          <w:i/>
          <w:sz w:val="20"/>
          <w:szCs w:val="20"/>
        </w:rPr>
        <w:t xml:space="preserve">Источник: </w:t>
      </w:r>
      <w:proofErr w:type="spellStart"/>
      <w:r w:rsidRPr="00C732B0">
        <w:rPr>
          <w:i/>
          <w:sz w:val="20"/>
          <w:szCs w:val="20"/>
        </w:rPr>
        <w:t>Петростат</w:t>
      </w:r>
      <w:proofErr w:type="spellEnd"/>
    </w:p>
    <w:p w14:paraId="68C36C57" w14:textId="5748578A" w:rsidR="00B70F00" w:rsidRPr="00B50BE7" w:rsidRDefault="00B70F00" w:rsidP="00E24791">
      <w:pPr>
        <w:spacing w:line="240" w:lineRule="auto"/>
        <w:ind w:firstLine="567"/>
        <w:jc w:val="both"/>
        <w:rPr>
          <w:b/>
          <w:sz w:val="24"/>
        </w:rPr>
      </w:pPr>
      <w:r w:rsidRPr="00C732B0">
        <w:rPr>
          <w:b/>
          <w:sz w:val="24"/>
        </w:rPr>
        <w:t>2. Инвестиции в основной капитал крупных и средних организаций (без субъектов малого предпринимательства) по видам экономической деятельности</w:t>
      </w:r>
    </w:p>
    <w:p w14:paraId="2C202E6F" w14:textId="034C8D1B" w:rsidR="00B70F00" w:rsidRPr="00F771A8" w:rsidRDefault="00B70F00" w:rsidP="00E24791">
      <w:pPr>
        <w:spacing w:after="0" w:line="240" w:lineRule="auto"/>
        <w:ind w:firstLine="567"/>
        <w:jc w:val="both"/>
        <w:rPr>
          <w:sz w:val="24"/>
        </w:rPr>
      </w:pPr>
      <w:r w:rsidRPr="00C732B0">
        <w:rPr>
          <w:sz w:val="24"/>
        </w:rPr>
        <w:t>По итогам</w:t>
      </w:r>
      <w:r w:rsidR="00713341" w:rsidRPr="00713341">
        <w:rPr>
          <w:sz w:val="24"/>
        </w:rPr>
        <w:t xml:space="preserve"> </w:t>
      </w:r>
      <w:r w:rsidR="008C0B41">
        <w:rPr>
          <w:sz w:val="24"/>
        </w:rPr>
        <w:t>2</w:t>
      </w:r>
      <w:r w:rsidR="00713341" w:rsidRPr="00713341">
        <w:rPr>
          <w:sz w:val="24"/>
        </w:rPr>
        <w:t>-</w:t>
      </w:r>
      <w:r w:rsidR="00713341">
        <w:rPr>
          <w:sz w:val="24"/>
        </w:rPr>
        <w:t>го квартала</w:t>
      </w:r>
      <w:r w:rsidRPr="00C732B0">
        <w:rPr>
          <w:sz w:val="24"/>
        </w:rPr>
        <w:t xml:space="preserve"> </w:t>
      </w:r>
      <w:r w:rsidR="009D17E8" w:rsidRPr="00F771A8">
        <w:rPr>
          <w:sz w:val="24"/>
          <w:szCs w:val="24"/>
        </w:rPr>
        <w:t>202</w:t>
      </w:r>
      <w:r w:rsidR="00713341">
        <w:rPr>
          <w:sz w:val="24"/>
          <w:szCs w:val="24"/>
        </w:rPr>
        <w:t>4</w:t>
      </w:r>
      <w:r w:rsidR="009D17E8" w:rsidRPr="00F771A8">
        <w:rPr>
          <w:sz w:val="24"/>
          <w:szCs w:val="24"/>
        </w:rPr>
        <w:t xml:space="preserve"> </w:t>
      </w:r>
      <w:r w:rsidRPr="00F771A8">
        <w:rPr>
          <w:sz w:val="24"/>
        </w:rPr>
        <w:t>года структура инвестиций в основной капитал организаций (без субъектов малого предпринимательства) по видам экономической деятельности</w:t>
      </w:r>
      <w:r w:rsidR="00EF3394" w:rsidRPr="00F771A8">
        <w:rPr>
          <w:sz w:val="24"/>
        </w:rPr>
        <w:t xml:space="preserve"> </w:t>
      </w:r>
      <w:r w:rsidRPr="00F771A8">
        <w:rPr>
          <w:sz w:val="24"/>
        </w:rPr>
        <w:t xml:space="preserve">не претерпела значительных изменений по сравнению с </w:t>
      </w:r>
      <w:r w:rsidR="00B75F45" w:rsidRPr="00F771A8">
        <w:rPr>
          <w:sz w:val="24"/>
        </w:rPr>
        <w:t>предыдущими годами (рис. 2)</w:t>
      </w:r>
      <w:r w:rsidRPr="00F771A8">
        <w:rPr>
          <w:sz w:val="24"/>
        </w:rPr>
        <w:t>. Традиционно лидирующими по объему инвестиций в</w:t>
      </w:r>
      <w:r w:rsidR="00C02ADF" w:rsidRPr="00F771A8">
        <w:rPr>
          <w:sz w:val="24"/>
        </w:rPr>
        <w:t> </w:t>
      </w:r>
      <w:r w:rsidRPr="00F771A8">
        <w:rPr>
          <w:sz w:val="24"/>
        </w:rPr>
        <w:t>основной капитал видами экономической деятельности (</w:t>
      </w:r>
      <w:r w:rsidR="00EF3394" w:rsidRPr="00F771A8">
        <w:rPr>
          <w:sz w:val="24"/>
        </w:rPr>
        <w:t>топ</w:t>
      </w:r>
      <w:r w:rsidR="00EF3394" w:rsidRPr="00F771A8">
        <w:rPr>
          <w:sz w:val="24"/>
        </w:rPr>
        <w:noBreakHyphen/>
        <w:t>3</w:t>
      </w:r>
      <w:r w:rsidRPr="00F771A8">
        <w:rPr>
          <w:sz w:val="24"/>
        </w:rPr>
        <w:t>) являются:</w:t>
      </w:r>
    </w:p>
    <w:p w14:paraId="69A21038" w14:textId="474B39EF" w:rsidR="00B70F00" w:rsidRDefault="00B70F00" w:rsidP="00E2479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sz w:val="24"/>
        </w:rPr>
      </w:pPr>
      <w:r w:rsidRPr="00F771A8">
        <w:rPr>
          <w:i/>
          <w:sz w:val="24"/>
        </w:rPr>
        <w:t>Транспортировка и хранение</w:t>
      </w:r>
      <w:r w:rsidRPr="00F771A8">
        <w:rPr>
          <w:sz w:val="24"/>
        </w:rPr>
        <w:t xml:space="preserve"> (</w:t>
      </w:r>
      <w:r w:rsidR="00EF3394" w:rsidRPr="00F771A8">
        <w:rPr>
          <w:sz w:val="24"/>
        </w:rPr>
        <w:t>2</w:t>
      </w:r>
      <w:r w:rsidR="00112836">
        <w:rPr>
          <w:sz w:val="24"/>
        </w:rPr>
        <w:t>2</w:t>
      </w:r>
      <w:r w:rsidR="00713341">
        <w:rPr>
          <w:sz w:val="24"/>
        </w:rPr>
        <w:t>,</w:t>
      </w:r>
      <w:r w:rsidR="00112836">
        <w:rPr>
          <w:sz w:val="24"/>
        </w:rPr>
        <w:t>3</w:t>
      </w:r>
      <w:r w:rsidRPr="00F771A8">
        <w:rPr>
          <w:sz w:val="24"/>
        </w:rPr>
        <w:t>% от общего объема инвестиций без учета субъектов малого предпринимательства в</w:t>
      </w:r>
      <w:r w:rsidR="00713341">
        <w:rPr>
          <w:sz w:val="24"/>
        </w:rPr>
        <w:t xml:space="preserve"> январе – </w:t>
      </w:r>
      <w:r w:rsidR="00112836">
        <w:rPr>
          <w:sz w:val="24"/>
        </w:rPr>
        <w:t>июне</w:t>
      </w:r>
      <w:r w:rsidR="00713341">
        <w:rPr>
          <w:sz w:val="24"/>
        </w:rPr>
        <w:t xml:space="preserve"> 2024</w:t>
      </w:r>
      <w:r w:rsidRPr="00F771A8">
        <w:rPr>
          <w:sz w:val="24"/>
        </w:rPr>
        <w:t xml:space="preserve"> год</w:t>
      </w:r>
      <w:r w:rsidR="00713341">
        <w:rPr>
          <w:sz w:val="24"/>
        </w:rPr>
        <w:t>а</w:t>
      </w:r>
      <w:r w:rsidRPr="00F771A8">
        <w:rPr>
          <w:sz w:val="24"/>
        </w:rPr>
        <w:t xml:space="preserve"> против </w:t>
      </w:r>
      <w:r w:rsidR="00112836">
        <w:rPr>
          <w:sz w:val="24"/>
        </w:rPr>
        <w:t>18</w:t>
      </w:r>
      <w:r w:rsidR="00022450" w:rsidRPr="00F771A8">
        <w:rPr>
          <w:sz w:val="24"/>
        </w:rPr>
        <w:t>,3</w:t>
      </w:r>
      <w:r w:rsidRPr="00F771A8">
        <w:rPr>
          <w:sz w:val="24"/>
        </w:rPr>
        <w:t>%</w:t>
      </w:r>
      <w:r w:rsidR="00C02ADF" w:rsidRPr="00F771A8">
        <w:rPr>
          <w:sz w:val="24"/>
        </w:rPr>
        <w:t xml:space="preserve"> в</w:t>
      </w:r>
      <w:r w:rsidR="00713341">
        <w:rPr>
          <w:sz w:val="24"/>
        </w:rPr>
        <w:t xml:space="preserve"> аналогичном периоде </w:t>
      </w:r>
      <w:r w:rsidR="00713341">
        <w:rPr>
          <w:sz w:val="24"/>
        </w:rPr>
        <w:br/>
        <w:t>2023 года</w:t>
      </w:r>
      <w:r w:rsidRPr="00F771A8">
        <w:rPr>
          <w:sz w:val="24"/>
        </w:rPr>
        <w:t>)</w:t>
      </w:r>
      <w:r w:rsidR="00904B9D" w:rsidRPr="00F771A8">
        <w:rPr>
          <w:sz w:val="24"/>
        </w:rPr>
        <w:t>.</w:t>
      </w:r>
    </w:p>
    <w:p w14:paraId="6D7DFE5F" w14:textId="37BEA952" w:rsidR="00112836" w:rsidRPr="00F771A8" w:rsidRDefault="00112836" w:rsidP="00E2479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sz w:val="24"/>
        </w:rPr>
      </w:pPr>
      <w:r w:rsidRPr="00F771A8">
        <w:rPr>
          <w:i/>
          <w:sz w:val="24"/>
        </w:rPr>
        <w:t>Деятельность по операциям с недвижимым имуществом</w:t>
      </w:r>
      <w:r w:rsidRPr="00F771A8">
        <w:rPr>
          <w:sz w:val="24"/>
        </w:rPr>
        <w:t> (</w:t>
      </w:r>
      <w:r>
        <w:rPr>
          <w:sz w:val="24"/>
        </w:rPr>
        <w:t>12,7</w:t>
      </w:r>
      <w:r w:rsidRPr="00F771A8">
        <w:rPr>
          <w:sz w:val="24"/>
        </w:rPr>
        <w:t>% от общего объема инвестиций без учета субъектов малого предпринимательства в</w:t>
      </w:r>
      <w:r>
        <w:rPr>
          <w:sz w:val="24"/>
        </w:rPr>
        <w:t xml:space="preserve"> январе – июне 2024</w:t>
      </w:r>
      <w:r w:rsidRPr="00F771A8">
        <w:rPr>
          <w:sz w:val="24"/>
        </w:rPr>
        <w:t xml:space="preserve"> год</w:t>
      </w:r>
      <w:r>
        <w:rPr>
          <w:sz w:val="24"/>
        </w:rPr>
        <w:t>а</w:t>
      </w:r>
      <w:r w:rsidRPr="00F771A8">
        <w:rPr>
          <w:sz w:val="24"/>
        </w:rPr>
        <w:t xml:space="preserve"> против </w:t>
      </w:r>
      <w:r>
        <w:rPr>
          <w:sz w:val="24"/>
        </w:rPr>
        <w:t>19,1%</w:t>
      </w:r>
      <w:r w:rsidRPr="00F771A8">
        <w:rPr>
          <w:sz w:val="24"/>
        </w:rPr>
        <w:t xml:space="preserve"> в</w:t>
      </w:r>
      <w:r>
        <w:rPr>
          <w:sz w:val="24"/>
        </w:rPr>
        <w:t xml:space="preserve"> аналогичном периоде 2023 года</w:t>
      </w:r>
      <w:r w:rsidRPr="00F771A8">
        <w:rPr>
          <w:sz w:val="24"/>
        </w:rPr>
        <w:t>).</w:t>
      </w:r>
    </w:p>
    <w:p w14:paraId="67C8EC96" w14:textId="433FA664" w:rsidR="00E24791" w:rsidRPr="00112836" w:rsidRDefault="00022450" w:rsidP="00112836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sz w:val="24"/>
        </w:rPr>
      </w:pPr>
      <w:r w:rsidRPr="00F771A8">
        <w:rPr>
          <w:i/>
          <w:sz w:val="24"/>
        </w:rPr>
        <w:t>Обрабатывающие производства</w:t>
      </w:r>
      <w:r w:rsidRPr="00F771A8">
        <w:rPr>
          <w:sz w:val="24"/>
        </w:rPr>
        <w:t xml:space="preserve"> (</w:t>
      </w:r>
      <w:bookmarkStart w:id="0" w:name="OLE_LINK1"/>
      <w:r w:rsidR="00112836">
        <w:rPr>
          <w:sz w:val="24"/>
        </w:rPr>
        <w:t>10,5</w:t>
      </w:r>
      <w:r w:rsidR="00713341" w:rsidRPr="00F771A8">
        <w:rPr>
          <w:sz w:val="24"/>
        </w:rPr>
        <w:t>% от общего объема инвестиций без учета субъектов малого предпринимательства в</w:t>
      </w:r>
      <w:r w:rsidR="00713341">
        <w:rPr>
          <w:sz w:val="24"/>
        </w:rPr>
        <w:t xml:space="preserve"> январе – </w:t>
      </w:r>
      <w:r w:rsidR="00112836">
        <w:rPr>
          <w:sz w:val="24"/>
        </w:rPr>
        <w:t>июне</w:t>
      </w:r>
      <w:r w:rsidR="00713341">
        <w:rPr>
          <w:sz w:val="24"/>
        </w:rPr>
        <w:t xml:space="preserve"> 2024</w:t>
      </w:r>
      <w:r w:rsidR="00713341" w:rsidRPr="00F771A8">
        <w:rPr>
          <w:sz w:val="24"/>
        </w:rPr>
        <w:t xml:space="preserve"> год</w:t>
      </w:r>
      <w:r w:rsidR="00713341">
        <w:rPr>
          <w:sz w:val="24"/>
        </w:rPr>
        <w:t>а</w:t>
      </w:r>
      <w:r w:rsidR="00713341" w:rsidRPr="00F771A8">
        <w:rPr>
          <w:sz w:val="24"/>
        </w:rPr>
        <w:t xml:space="preserve"> против </w:t>
      </w:r>
      <w:r w:rsidR="00713341">
        <w:rPr>
          <w:sz w:val="24"/>
        </w:rPr>
        <w:t>10,</w:t>
      </w:r>
      <w:r w:rsidR="00112836">
        <w:rPr>
          <w:sz w:val="24"/>
        </w:rPr>
        <w:t>8</w:t>
      </w:r>
      <w:r w:rsidR="00713341">
        <w:rPr>
          <w:sz w:val="24"/>
        </w:rPr>
        <w:t>%</w:t>
      </w:r>
      <w:r w:rsidR="00713341" w:rsidRPr="00F771A8">
        <w:rPr>
          <w:sz w:val="24"/>
        </w:rPr>
        <w:t xml:space="preserve"> в</w:t>
      </w:r>
      <w:r w:rsidR="00713341">
        <w:rPr>
          <w:sz w:val="24"/>
        </w:rPr>
        <w:t xml:space="preserve"> аналогичном периоде </w:t>
      </w:r>
      <w:r w:rsidR="00713341">
        <w:rPr>
          <w:sz w:val="24"/>
        </w:rPr>
        <w:br/>
        <w:t>2023 года</w:t>
      </w:r>
      <w:bookmarkEnd w:id="0"/>
      <w:r w:rsidRPr="00F771A8">
        <w:rPr>
          <w:sz w:val="24"/>
        </w:rPr>
        <w:t>).</w:t>
      </w:r>
    </w:p>
    <w:p w14:paraId="5729A335" w14:textId="54593C31" w:rsidR="00E24791" w:rsidRPr="00F771A8" w:rsidRDefault="00E24791" w:rsidP="00E24791">
      <w:pPr>
        <w:rPr>
          <w:sz w:val="24"/>
        </w:rPr>
      </w:pPr>
      <w:r w:rsidRPr="00F771A8">
        <w:rPr>
          <w:sz w:val="24"/>
        </w:rPr>
        <w:br w:type="page"/>
      </w:r>
    </w:p>
    <w:p w14:paraId="166AAD70" w14:textId="2FDEF51F" w:rsidR="00E24791" w:rsidRPr="00E24791" w:rsidRDefault="00E24791" w:rsidP="00E24791">
      <w:pPr>
        <w:spacing w:before="240" w:after="0" w:line="240" w:lineRule="auto"/>
        <w:jc w:val="center"/>
        <w:rPr>
          <w:b/>
          <w:bCs/>
          <w:szCs w:val="24"/>
        </w:rPr>
      </w:pPr>
      <w:r w:rsidRPr="00E24791">
        <w:rPr>
          <w:b/>
          <w:bCs/>
          <w:szCs w:val="24"/>
        </w:rPr>
        <w:lastRenderedPageBreak/>
        <w:t>Рис. 2. Структура инвестиций в основной капитал по в</w:t>
      </w:r>
      <w:r w:rsidR="00E158B9">
        <w:rPr>
          <w:b/>
          <w:bCs/>
          <w:szCs w:val="24"/>
        </w:rPr>
        <w:t xml:space="preserve">идам экономической деятельности </w:t>
      </w:r>
      <w:r w:rsidR="00E158B9">
        <w:rPr>
          <w:b/>
          <w:bCs/>
          <w:szCs w:val="24"/>
        </w:rPr>
        <w:br/>
        <w:t xml:space="preserve">за январь – </w:t>
      </w:r>
      <w:r w:rsidR="008C0B41">
        <w:rPr>
          <w:b/>
          <w:bCs/>
          <w:szCs w:val="24"/>
        </w:rPr>
        <w:t>июнь</w:t>
      </w:r>
      <w:r w:rsidR="00E158B9">
        <w:rPr>
          <w:b/>
          <w:bCs/>
          <w:szCs w:val="24"/>
        </w:rPr>
        <w:t xml:space="preserve"> </w:t>
      </w:r>
      <w:r w:rsidRPr="00E24791">
        <w:rPr>
          <w:b/>
          <w:bCs/>
          <w:szCs w:val="24"/>
        </w:rPr>
        <w:t>(без субъекто</w:t>
      </w:r>
      <w:r w:rsidR="00F771A8">
        <w:rPr>
          <w:b/>
          <w:bCs/>
          <w:szCs w:val="24"/>
        </w:rPr>
        <w:t>в малого предпринимательства)</w:t>
      </w:r>
      <w:r>
        <w:rPr>
          <w:rStyle w:val="ab"/>
          <w:b/>
          <w:bCs/>
          <w:szCs w:val="24"/>
        </w:rPr>
        <w:footnoteReference w:id="1"/>
      </w:r>
    </w:p>
    <w:p w14:paraId="3EDE4BD0" w14:textId="06D656B4" w:rsidR="0096239A" w:rsidRPr="00E24791" w:rsidRDefault="00A62E40" w:rsidP="00E24791">
      <w:pPr>
        <w:tabs>
          <w:tab w:val="left" w:pos="993"/>
        </w:tabs>
        <w:spacing w:after="0" w:line="240" w:lineRule="auto"/>
        <w:jc w:val="both"/>
        <w:rPr>
          <w:sz w:val="24"/>
        </w:rPr>
      </w:pPr>
      <w:r w:rsidRPr="00F7463A">
        <w:rPr>
          <w:noProof/>
          <w:lang w:eastAsia="ru-RU"/>
        </w:rPr>
        <w:drawing>
          <wp:inline distT="0" distB="0" distL="0" distR="0" wp14:anchorId="4CE66186" wp14:editId="4B490FBE">
            <wp:extent cx="6802120" cy="32099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44291E1" w14:textId="62855670" w:rsidR="00312514" w:rsidRDefault="0096239A" w:rsidP="00E24791">
      <w:pPr>
        <w:spacing w:line="240" w:lineRule="auto"/>
        <w:jc w:val="both"/>
        <w:rPr>
          <w:sz w:val="24"/>
        </w:rPr>
      </w:pPr>
      <w:r w:rsidRPr="00412F4F">
        <w:rPr>
          <w:i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051F150" wp14:editId="62A9465F">
                <wp:extent cx="6646460" cy="2247900"/>
                <wp:effectExtent l="0" t="0" r="0" b="0"/>
                <wp:docPr id="11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460" cy="2247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768740" w14:textId="77777777" w:rsidR="0096239A" w:rsidRPr="003D0366" w:rsidRDefault="0096239A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Транспортировка и хранение. </w:t>
                            </w:r>
                          </w:p>
                          <w:p w14:paraId="57B88D5F" w14:textId="1FD7DC27" w:rsidR="008C0B41" w:rsidRDefault="0096239A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0B41" w:rsidRPr="00022450">
                              <w:rPr>
                                <w:kern w:val="24"/>
                                <w:sz w:val="22"/>
                                <w:szCs w:val="22"/>
                              </w:rPr>
                              <w:t>Деятельность по операциям с недвижимым имуществом</w:t>
                            </w:r>
                            <w:r w:rsidR="008C0B41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2F945E" w14:textId="468A0AA6" w:rsidR="0096239A" w:rsidRPr="003D0366" w:rsidRDefault="008C0B41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239A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Обрабатывающие производства. </w:t>
                            </w:r>
                          </w:p>
                          <w:p w14:paraId="7B5BA61F" w14:textId="2069FF26" w:rsidR="0096239A" w:rsidRDefault="008C0B41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C0B41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Строительство.</w:t>
                            </w:r>
                          </w:p>
                          <w:p w14:paraId="5DCA5AB6" w14:textId="4F9EC0EF" w:rsidR="00917ED4" w:rsidRDefault="008C0B41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="00917ED4" w:rsidRPr="00917ED4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917ED4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7ED4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Деятельность в области информации и связи.</w:t>
                            </w:r>
                          </w:p>
                          <w:p w14:paraId="2F1B2EE9" w14:textId="77777777" w:rsidR="008C0B41" w:rsidRPr="003D0366" w:rsidRDefault="008C0B41" w:rsidP="008C0B41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. Торговля оптовая и розничная; ремонт автотранспортных средств и мотоциклов.</w:t>
                            </w:r>
                          </w:p>
                          <w:p w14:paraId="6FC810C5" w14:textId="77777777" w:rsidR="008C0B41" w:rsidRPr="003D0366" w:rsidRDefault="008C0B41" w:rsidP="008C0B41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17ED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Обеспечение электрической энергией, газом и паром; кондиционирование воздуха.</w:t>
                            </w:r>
                          </w:p>
                          <w:p w14:paraId="31113A62" w14:textId="77777777" w:rsidR="008C0B41" w:rsidRPr="003D0366" w:rsidRDefault="008C0B41" w:rsidP="008C0B41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r w:rsidRPr="003D0366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Образование. </w:t>
                            </w:r>
                          </w:p>
                          <w:p w14:paraId="41E9FB4A" w14:textId="5E3371E7" w:rsidR="00917ED4" w:rsidRDefault="008C0B41" w:rsidP="00917ED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9</w:t>
                            </w:r>
                            <w:r w:rsidR="00917ED4" w:rsidRPr="003D0366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 </w:t>
                            </w:r>
                            <w:r w:rsidR="00917ED4" w:rsidRPr="00022450">
                              <w:rPr>
                                <w:kern w:val="24"/>
                                <w:sz w:val="22"/>
                                <w:szCs w:val="22"/>
                              </w:rPr>
                              <w:t>Деятельность профессиональная, научная и техническая</w:t>
                            </w:r>
                            <w:r w:rsidR="00917ED4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6A5911E" w14:textId="67D7CDFF" w:rsidR="008C0B41" w:rsidRPr="003D0366" w:rsidRDefault="008C0B41" w:rsidP="00917ED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C0B41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Деятельность в области здравоохранения и социальных услуг.</w:t>
                            </w:r>
                          </w:p>
                          <w:p w14:paraId="6155E227" w14:textId="0B8E4F3E" w:rsidR="008C0B41" w:rsidRPr="008C0B41" w:rsidRDefault="008C0B41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11. </w:t>
                            </w:r>
                            <w:r w:rsidRPr="008C0B41"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Деятельность административная и сопутствующие дополнительные услуги</w:t>
                            </w:r>
                            <w:r w:rsidR="00D54CF8"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DCB58BD" w14:textId="5EE04FF4" w:rsidR="0096239A" w:rsidRPr="003D0366" w:rsidRDefault="008C0B41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12</w:t>
                            </w:r>
                            <w:r w:rsidR="0096239A" w:rsidRPr="003D0366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 </w:t>
                            </w:r>
                            <w:r w:rsidR="0096239A" w:rsidRPr="00022450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Деятельность </w:t>
                            </w:r>
                            <w:r w:rsidR="00917ED4">
                              <w:rPr>
                                <w:kern w:val="24"/>
                                <w:sz w:val="22"/>
                                <w:szCs w:val="22"/>
                              </w:rPr>
                              <w:t>финансовая и страховая</w:t>
                            </w:r>
                            <w:r w:rsidR="0096239A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E92D86A" w14:textId="5C0060B0" w:rsidR="0096239A" w:rsidRPr="003D0366" w:rsidRDefault="0096239A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8C0B41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3D0366"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Другие виды деятельности</w:t>
                            </w:r>
                            <w:r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051F15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523.35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" filled="f" stroked="f">
                <v:textbox>
                  <w:txbxContent>
                    <w:p w14:paraId="51768740" w14:textId="77777777" w:rsidR="0096239A" w:rsidRPr="003D0366" w:rsidRDefault="0096239A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 xml:space="preserve">Транспортировка и хранение. </w:t>
                      </w:r>
                    </w:p>
                    <w:p w14:paraId="57B88D5F" w14:textId="1FD7DC27" w:rsidR="008C0B41" w:rsidRDefault="0096239A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2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8C0B41" w:rsidRPr="00022450">
                        <w:rPr>
                          <w:kern w:val="24"/>
                          <w:sz w:val="22"/>
                          <w:szCs w:val="22"/>
                        </w:rPr>
                        <w:t>Деятельность по операциям с недвижимым имуществом</w:t>
                      </w:r>
                      <w:r w:rsidR="008C0B41" w:rsidRPr="003D0366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4B2F945E" w14:textId="468A0AA6" w:rsidR="0096239A" w:rsidRPr="003D0366" w:rsidRDefault="008C0B41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3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96239A" w:rsidRPr="003D0366">
                        <w:rPr>
                          <w:kern w:val="24"/>
                          <w:sz w:val="22"/>
                          <w:szCs w:val="22"/>
                        </w:rPr>
                        <w:t xml:space="preserve">Обрабатывающие производства. </w:t>
                      </w:r>
                    </w:p>
                    <w:p w14:paraId="7B5BA61F" w14:textId="2069FF26" w:rsidR="0096239A" w:rsidRDefault="008C0B41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8C0B41">
                        <w:rPr>
                          <w:b/>
                          <w:kern w:val="24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>Строительство.</w:t>
                      </w:r>
                    </w:p>
                    <w:p w14:paraId="5DCA5AB6" w14:textId="4F9EC0EF" w:rsidR="00917ED4" w:rsidRDefault="008C0B41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5</w:t>
                      </w:r>
                      <w:r w:rsidR="00917ED4" w:rsidRPr="00917ED4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  <w:r w:rsidR="00917ED4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917ED4" w:rsidRPr="003D0366">
                        <w:rPr>
                          <w:kern w:val="24"/>
                          <w:sz w:val="22"/>
                          <w:szCs w:val="22"/>
                        </w:rPr>
                        <w:t>Деятельность в области информации и связи.</w:t>
                      </w:r>
                    </w:p>
                    <w:p w14:paraId="2F1B2EE9" w14:textId="77777777" w:rsidR="008C0B41" w:rsidRPr="003D0366" w:rsidRDefault="008C0B41" w:rsidP="008C0B41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>. Торговля оптовая и розничная; ремонт автотранспортных средств и мотоциклов.</w:t>
                      </w:r>
                    </w:p>
                    <w:p w14:paraId="6FC810C5" w14:textId="77777777" w:rsidR="008C0B41" w:rsidRPr="003D0366" w:rsidRDefault="008C0B41" w:rsidP="008C0B41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917ED4">
                        <w:rPr>
                          <w:b/>
                          <w:kern w:val="24"/>
                          <w:sz w:val="22"/>
                          <w:szCs w:val="22"/>
                        </w:rPr>
                        <w:t>7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>Обеспечение электрической энергией, газом и паром; кондиционирование воздуха.</w:t>
                      </w:r>
                    </w:p>
                    <w:p w14:paraId="31113A62" w14:textId="77777777" w:rsidR="008C0B41" w:rsidRPr="003D0366" w:rsidRDefault="008C0B41" w:rsidP="008C0B41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8</w:t>
                      </w:r>
                      <w:r w:rsidRPr="003D0366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 xml:space="preserve"> Образование. </w:t>
                      </w:r>
                    </w:p>
                    <w:p w14:paraId="41E9FB4A" w14:textId="5E3371E7" w:rsidR="00917ED4" w:rsidRDefault="008C0B41" w:rsidP="00917ED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9</w:t>
                      </w:r>
                      <w:r w:rsidR="00917ED4" w:rsidRPr="003D0366">
                        <w:rPr>
                          <w:b/>
                          <w:kern w:val="24"/>
                          <w:sz w:val="22"/>
                          <w:szCs w:val="22"/>
                        </w:rPr>
                        <w:t>. </w:t>
                      </w:r>
                      <w:r w:rsidR="00917ED4" w:rsidRPr="00022450">
                        <w:rPr>
                          <w:kern w:val="24"/>
                          <w:sz w:val="22"/>
                          <w:szCs w:val="22"/>
                        </w:rPr>
                        <w:t>Деятельность профессиональная, научная и техническая</w:t>
                      </w:r>
                      <w:r w:rsidR="00917ED4" w:rsidRPr="003D0366">
                        <w:rPr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6A5911E" w14:textId="67D7CDFF" w:rsidR="008C0B41" w:rsidRPr="003D0366" w:rsidRDefault="008C0B41" w:rsidP="00917ED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8C0B41">
                        <w:rPr>
                          <w:b/>
                          <w:kern w:val="24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>Деятельность в области здравоохранения и социальных услуг.</w:t>
                      </w:r>
                    </w:p>
                    <w:p w14:paraId="6155E227" w14:textId="0B8E4F3E" w:rsidR="008C0B41" w:rsidRPr="008C0B41" w:rsidRDefault="008C0B41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bCs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11. </w:t>
                      </w:r>
                      <w:r w:rsidRPr="008C0B41">
                        <w:rPr>
                          <w:bCs/>
                          <w:kern w:val="24"/>
                          <w:sz w:val="22"/>
                          <w:szCs w:val="22"/>
                        </w:rPr>
                        <w:t>Деятельность административная и сопутствующие дополнительные услуги</w:t>
                      </w:r>
                      <w:r w:rsidR="00D54CF8">
                        <w:rPr>
                          <w:bCs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2DCB58BD" w14:textId="5EE04FF4" w:rsidR="0096239A" w:rsidRPr="003D0366" w:rsidRDefault="008C0B41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12</w:t>
                      </w:r>
                      <w:r w:rsidR="0096239A" w:rsidRPr="003D0366">
                        <w:rPr>
                          <w:b/>
                          <w:kern w:val="24"/>
                          <w:sz w:val="22"/>
                          <w:szCs w:val="22"/>
                        </w:rPr>
                        <w:t>. </w:t>
                      </w:r>
                      <w:r w:rsidR="0096239A" w:rsidRPr="00022450">
                        <w:rPr>
                          <w:kern w:val="24"/>
                          <w:sz w:val="22"/>
                          <w:szCs w:val="22"/>
                        </w:rPr>
                        <w:t xml:space="preserve">Деятельность </w:t>
                      </w:r>
                      <w:r w:rsidR="00917ED4">
                        <w:rPr>
                          <w:kern w:val="24"/>
                          <w:sz w:val="22"/>
                          <w:szCs w:val="22"/>
                        </w:rPr>
                        <w:t>финансовая и страховая</w:t>
                      </w:r>
                      <w:r w:rsidR="0096239A" w:rsidRPr="003D0366">
                        <w:rPr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E92D86A" w14:textId="5C0060B0" w:rsidR="0096239A" w:rsidRPr="003D0366" w:rsidRDefault="0096239A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1</w:t>
                      </w:r>
                      <w:r w:rsidR="008C0B41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3</w:t>
                      </w: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r w:rsidRPr="003D0366">
                        <w:rPr>
                          <w:bCs/>
                          <w:kern w:val="24"/>
                          <w:sz w:val="22"/>
                          <w:szCs w:val="22"/>
                        </w:rPr>
                        <w:t>Другие виды деятельности</w:t>
                      </w:r>
                      <w:r>
                        <w:rPr>
                          <w:bCs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0A5A77" w14:textId="398D5640" w:rsidR="00B70F00" w:rsidRPr="00244E8D" w:rsidRDefault="00B70F00" w:rsidP="00E24791">
      <w:pPr>
        <w:spacing w:after="0" w:line="240" w:lineRule="auto"/>
        <w:jc w:val="center"/>
        <w:rPr>
          <w:i/>
          <w:sz w:val="20"/>
          <w:szCs w:val="20"/>
        </w:rPr>
      </w:pPr>
      <w:r w:rsidRPr="00C732B0">
        <w:rPr>
          <w:i/>
          <w:sz w:val="20"/>
          <w:szCs w:val="20"/>
        </w:rPr>
        <w:t>Источник:</w:t>
      </w:r>
      <w:r w:rsidR="00C26FFA">
        <w:rPr>
          <w:i/>
          <w:sz w:val="20"/>
          <w:szCs w:val="20"/>
        </w:rPr>
        <w:t xml:space="preserve"> </w:t>
      </w:r>
      <w:proofErr w:type="spellStart"/>
      <w:r w:rsidRPr="00C732B0">
        <w:rPr>
          <w:i/>
          <w:sz w:val="20"/>
          <w:szCs w:val="20"/>
        </w:rPr>
        <w:t>Петростат</w:t>
      </w:r>
      <w:proofErr w:type="spellEnd"/>
    </w:p>
    <w:p w14:paraId="493D474B" w14:textId="77777777" w:rsidR="00B70F00" w:rsidRPr="0096239A" w:rsidRDefault="00B70F00" w:rsidP="00E24791">
      <w:pPr>
        <w:tabs>
          <w:tab w:val="left" w:pos="993"/>
        </w:tabs>
        <w:spacing w:after="0" w:line="240" w:lineRule="auto"/>
        <w:jc w:val="both"/>
        <w:rPr>
          <w:sz w:val="20"/>
        </w:rPr>
      </w:pPr>
    </w:p>
    <w:p w14:paraId="04B367B4" w14:textId="7850BF7E" w:rsidR="00AC413A" w:rsidRPr="00D54CF8" w:rsidRDefault="007D7DAD" w:rsidP="00E24791">
      <w:pPr>
        <w:tabs>
          <w:tab w:val="left" w:pos="3493"/>
          <w:tab w:val="left" w:pos="3965"/>
          <w:tab w:val="center" w:pos="5386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У всех рассматриваемых видов деятельности отмечена позитивная динамика, за исключением </w:t>
      </w:r>
      <w:r w:rsidR="00917ED4">
        <w:rPr>
          <w:sz w:val="24"/>
        </w:rPr>
        <w:t>деятельности по операциям с недвижимым имуществом</w:t>
      </w:r>
      <w:r w:rsidR="00112836">
        <w:rPr>
          <w:sz w:val="24"/>
        </w:rPr>
        <w:t xml:space="preserve">, </w:t>
      </w:r>
      <w:r w:rsidR="006B1C98">
        <w:rPr>
          <w:sz w:val="24"/>
        </w:rPr>
        <w:t xml:space="preserve">деятельности по </w:t>
      </w:r>
      <w:r w:rsidR="00112836">
        <w:rPr>
          <w:sz w:val="24"/>
        </w:rPr>
        <w:t>обеспечени</w:t>
      </w:r>
      <w:r w:rsidR="006B1C98">
        <w:rPr>
          <w:sz w:val="24"/>
        </w:rPr>
        <w:t>ю</w:t>
      </w:r>
      <w:r w:rsidR="00112836">
        <w:rPr>
          <w:sz w:val="24"/>
        </w:rPr>
        <w:t xml:space="preserve"> </w:t>
      </w:r>
      <w:r w:rsidR="00112836" w:rsidRPr="00112836">
        <w:rPr>
          <w:sz w:val="24"/>
        </w:rPr>
        <w:t>электрической энергией, газом и паром; кондиционировани</w:t>
      </w:r>
      <w:r w:rsidR="006B1C98">
        <w:rPr>
          <w:sz w:val="24"/>
        </w:rPr>
        <w:t>ю</w:t>
      </w:r>
      <w:r w:rsidR="00112836" w:rsidRPr="00112836">
        <w:rPr>
          <w:sz w:val="24"/>
        </w:rPr>
        <w:t xml:space="preserve"> воздуха</w:t>
      </w:r>
      <w:r w:rsidR="006B1C98">
        <w:rPr>
          <w:sz w:val="24"/>
        </w:rPr>
        <w:t xml:space="preserve"> и д</w:t>
      </w:r>
      <w:r w:rsidR="006B1C98" w:rsidRPr="006B1C98">
        <w:rPr>
          <w:sz w:val="24"/>
        </w:rPr>
        <w:t>еятельност</w:t>
      </w:r>
      <w:r w:rsidR="006B1C98">
        <w:rPr>
          <w:sz w:val="24"/>
        </w:rPr>
        <w:t>и</w:t>
      </w:r>
      <w:r w:rsidR="006B1C98" w:rsidRPr="006B1C98">
        <w:rPr>
          <w:sz w:val="24"/>
        </w:rPr>
        <w:t xml:space="preserve"> профессиональн</w:t>
      </w:r>
      <w:r w:rsidR="006B1C98">
        <w:rPr>
          <w:sz w:val="24"/>
        </w:rPr>
        <w:t>ой</w:t>
      </w:r>
      <w:r w:rsidR="006B1C98" w:rsidRPr="006B1C98">
        <w:rPr>
          <w:sz w:val="24"/>
        </w:rPr>
        <w:t>, научн</w:t>
      </w:r>
      <w:r w:rsidR="006B1C98">
        <w:rPr>
          <w:sz w:val="24"/>
        </w:rPr>
        <w:t>ой</w:t>
      </w:r>
      <w:r w:rsidR="006B1C98" w:rsidRPr="006B1C98">
        <w:rPr>
          <w:sz w:val="24"/>
        </w:rPr>
        <w:t xml:space="preserve"> и техническ</w:t>
      </w:r>
      <w:r w:rsidR="006B1C98">
        <w:rPr>
          <w:sz w:val="24"/>
        </w:rPr>
        <w:t>ой</w:t>
      </w:r>
      <w:r>
        <w:rPr>
          <w:sz w:val="24"/>
        </w:rPr>
        <w:t>.</w:t>
      </w:r>
      <w:r w:rsidR="00BC0081">
        <w:rPr>
          <w:sz w:val="24"/>
        </w:rPr>
        <w:t xml:space="preserve"> </w:t>
      </w:r>
      <w:r w:rsidR="00F4237A">
        <w:rPr>
          <w:sz w:val="24"/>
        </w:rPr>
        <w:t>На сокращение объема инвестиций в сфере операций с недвижимым имуществом оказал влияние п</w:t>
      </w:r>
      <w:r w:rsidR="00BC0081">
        <w:rPr>
          <w:sz w:val="24"/>
        </w:rPr>
        <w:t xml:space="preserve">ерегрев рынка </w:t>
      </w:r>
      <w:r w:rsidR="00917ED4">
        <w:rPr>
          <w:sz w:val="24"/>
        </w:rPr>
        <w:t>жилья</w:t>
      </w:r>
      <w:r w:rsidR="00F4237A">
        <w:rPr>
          <w:sz w:val="24"/>
        </w:rPr>
        <w:t>, обусловивший снижение инвестиционн</w:t>
      </w:r>
      <w:r w:rsidR="00172144">
        <w:rPr>
          <w:sz w:val="24"/>
        </w:rPr>
        <w:t>ой</w:t>
      </w:r>
      <w:r w:rsidR="00F4237A">
        <w:rPr>
          <w:sz w:val="24"/>
        </w:rPr>
        <w:t xml:space="preserve"> привлекательности данного сектора</w:t>
      </w:r>
      <w:r w:rsidR="009075C4" w:rsidRPr="00F771A8">
        <w:rPr>
          <w:sz w:val="24"/>
        </w:rPr>
        <w:t xml:space="preserve"> (</w:t>
      </w:r>
      <w:r w:rsidR="00F771A8" w:rsidRPr="00F771A8">
        <w:rPr>
          <w:sz w:val="24"/>
        </w:rPr>
        <w:t xml:space="preserve">ИФО – </w:t>
      </w:r>
      <w:r w:rsidR="00917ED4">
        <w:rPr>
          <w:sz w:val="24"/>
        </w:rPr>
        <w:t>8</w:t>
      </w:r>
      <w:r w:rsidR="00F4237A">
        <w:rPr>
          <w:sz w:val="24"/>
        </w:rPr>
        <w:t>9,2</w:t>
      </w:r>
      <w:r w:rsidR="009075C4" w:rsidRPr="00F771A8">
        <w:rPr>
          <w:sz w:val="24"/>
        </w:rPr>
        <w:t>%).</w:t>
      </w:r>
      <w:r w:rsidR="0058366B" w:rsidRPr="00F771A8">
        <w:rPr>
          <w:sz w:val="24"/>
        </w:rPr>
        <w:t xml:space="preserve"> </w:t>
      </w:r>
    </w:p>
    <w:p w14:paraId="3B369423" w14:textId="68F7BCCC" w:rsidR="007D1B4C" w:rsidRPr="00B410A4" w:rsidRDefault="004B315A" w:rsidP="00E24791">
      <w:pPr>
        <w:tabs>
          <w:tab w:val="left" w:pos="3493"/>
          <w:tab w:val="left" w:pos="3965"/>
          <w:tab w:val="center" w:pos="5386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Наибольший рост продемонстрировали инвестиции в финансовой и страховой деятельности (</w:t>
      </w:r>
      <w:r w:rsidR="00D54CF8">
        <w:rPr>
          <w:sz w:val="24"/>
          <w:szCs w:val="24"/>
        </w:rPr>
        <w:t>2</w:t>
      </w:r>
      <w:r>
        <w:rPr>
          <w:sz w:val="24"/>
          <w:szCs w:val="24"/>
        </w:rPr>
        <w:t xml:space="preserve">70%), что объясняется эффектом низкой базы, сложившейся </w:t>
      </w:r>
      <w:r w:rsidR="00704444">
        <w:rPr>
          <w:sz w:val="24"/>
          <w:szCs w:val="24"/>
        </w:rPr>
        <w:t xml:space="preserve">в результате резкого снижения объема инвестиций в указанный сектор в 2022 году и отсутствия восстановительного роста в 2023 году. </w:t>
      </w:r>
      <w:r w:rsidR="005A2D14">
        <w:rPr>
          <w:sz w:val="24"/>
          <w:szCs w:val="24"/>
        </w:rPr>
        <w:t xml:space="preserve">Существенное превышение объемов инвестиций в основной капитал по отношению к значениям </w:t>
      </w:r>
      <w:r w:rsidR="005A2D14">
        <w:rPr>
          <w:sz w:val="24"/>
          <w:szCs w:val="24"/>
        </w:rPr>
        <w:br/>
        <w:t>2023 года также фиксировалось в</w:t>
      </w:r>
      <w:r w:rsidR="00D54CF8">
        <w:rPr>
          <w:sz w:val="24"/>
          <w:szCs w:val="24"/>
        </w:rPr>
        <w:t xml:space="preserve"> строительстве (ИФО – 220%)</w:t>
      </w:r>
      <w:r w:rsidR="00670697">
        <w:rPr>
          <w:sz w:val="24"/>
          <w:szCs w:val="24"/>
        </w:rPr>
        <w:t>, в</w:t>
      </w:r>
      <w:r w:rsidR="005A2D14">
        <w:rPr>
          <w:sz w:val="24"/>
          <w:szCs w:val="24"/>
        </w:rPr>
        <w:t xml:space="preserve"> сфере здравоохранения и социальных услуг (</w:t>
      </w:r>
      <w:r w:rsidR="00670697">
        <w:rPr>
          <w:sz w:val="24"/>
          <w:szCs w:val="24"/>
        </w:rPr>
        <w:t>20</w:t>
      </w:r>
      <w:r w:rsidR="005A2D14">
        <w:rPr>
          <w:sz w:val="24"/>
          <w:szCs w:val="24"/>
        </w:rPr>
        <w:t xml:space="preserve">0%), </w:t>
      </w:r>
      <w:r w:rsidR="00670697">
        <w:rPr>
          <w:sz w:val="24"/>
          <w:szCs w:val="24"/>
        </w:rPr>
        <w:t>в административной деятельности и предоставлении сопутствующих дополнительных услуг (170%) и в транспортировке и хранении (150</w:t>
      </w:r>
      <w:r w:rsidR="009C1A1A">
        <w:rPr>
          <w:sz w:val="24"/>
          <w:szCs w:val="24"/>
        </w:rPr>
        <w:t>%</w:t>
      </w:r>
      <w:r w:rsidR="00670697">
        <w:rPr>
          <w:sz w:val="24"/>
          <w:szCs w:val="24"/>
        </w:rPr>
        <w:t xml:space="preserve">). </w:t>
      </w:r>
      <w:r w:rsidR="005A2D14">
        <w:rPr>
          <w:sz w:val="24"/>
          <w:szCs w:val="24"/>
        </w:rPr>
        <w:t xml:space="preserve"> </w:t>
      </w:r>
    </w:p>
    <w:p w14:paraId="212B2318" w14:textId="0EEE1D1F" w:rsidR="00B07414" w:rsidRDefault="00B074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CEBFAB" w14:textId="104829A0" w:rsidR="00B07414" w:rsidRPr="00B07414" w:rsidRDefault="00B07414" w:rsidP="00B07414">
      <w:pPr>
        <w:spacing w:before="240" w:after="0" w:line="240" w:lineRule="auto"/>
        <w:jc w:val="center"/>
        <w:rPr>
          <w:sz w:val="24"/>
          <w:szCs w:val="24"/>
        </w:rPr>
      </w:pPr>
      <w:r w:rsidRPr="00B07414">
        <w:rPr>
          <w:b/>
          <w:bCs/>
          <w:szCs w:val="24"/>
        </w:rPr>
        <w:lastRenderedPageBreak/>
        <w:t>Рис. 3. Структура инвестиций в основной капитал по производимой продукции</w:t>
      </w:r>
      <w:r w:rsidRPr="00B07414">
        <w:rPr>
          <w:b/>
          <w:bCs/>
          <w:sz w:val="24"/>
          <w:szCs w:val="24"/>
        </w:rPr>
        <w:t xml:space="preserve"> в обрабатывающих производствах </w:t>
      </w:r>
      <w:r w:rsidR="00637F03">
        <w:rPr>
          <w:b/>
          <w:bCs/>
          <w:szCs w:val="24"/>
        </w:rPr>
        <w:t xml:space="preserve">за январь – </w:t>
      </w:r>
      <w:r w:rsidR="00670697">
        <w:rPr>
          <w:b/>
          <w:bCs/>
          <w:szCs w:val="24"/>
        </w:rPr>
        <w:t>июнь</w:t>
      </w:r>
      <w:r w:rsidR="00637F03">
        <w:rPr>
          <w:b/>
          <w:bCs/>
          <w:szCs w:val="24"/>
        </w:rPr>
        <w:t xml:space="preserve"> </w:t>
      </w:r>
      <w:r w:rsidRPr="00B07414">
        <w:rPr>
          <w:b/>
          <w:bCs/>
          <w:sz w:val="24"/>
          <w:szCs w:val="24"/>
        </w:rPr>
        <w:t>(без субъек</w:t>
      </w:r>
      <w:r w:rsidR="00F771A8">
        <w:rPr>
          <w:b/>
          <w:bCs/>
          <w:sz w:val="24"/>
          <w:szCs w:val="24"/>
        </w:rPr>
        <w:t>тов малого предпринимательства)</w:t>
      </w:r>
      <w:r>
        <w:rPr>
          <w:rStyle w:val="ab"/>
          <w:b/>
          <w:bCs/>
          <w:sz w:val="24"/>
          <w:szCs w:val="24"/>
        </w:rPr>
        <w:footnoteReference w:id="2"/>
      </w:r>
    </w:p>
    <w:p w14:paraId="3F760044" w14:textId="067918B1" w:rsidR="00B70F00" w:rsidRDefault="005E27A4" w:rsidP="00E24791">
      <w:pPr>
        <w:tabs>
          <w:tab w:val="left" w:pos="4590"/>
        </w:tabs>
        <w:spacing w:after="0" w:line="240" w:lineRule="auto"/>
        <w:jc w:val="both"/>
        <w:rPr>
          <w:sz w:val="24"/>
        </w:rPr>
      </w:pPr>
      <w:r w:rsidRPr="00F7463A">
        <w:rPr>
          <w:noProof/>
          <w:color w:val="FEFFFF" w:themeColor="background1"/>
          <w:sz w:val="20"/>
          <w:szCs w:val="20"/>
          <w:lang w:eastAsia="ru-RU"/>
        </w:rPr>
        <w:drawing>
          <wp:inline distT="0" distB="0" distL="0" distR="0" wp14:anchorId="78B08BA6" wp14:editId="1E341475">
            <wp:extent cx="6656052" cy="3084195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45518" w:rsidRPr="00143AC9">
        <w:rPr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56D77308" wp14:editId="377D2D97">
                <wp:extent cx="6532880" cy="2066925"/>
                <wp:effectExtent l="0" t="0" r="0" b="0"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880" cy="2066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4B9BE3" w14:textId="3E10F5A5" w:rsidR="00B07414" w:rsidRPr="00B07414" w:rsidRDefault="004C6902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07414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Лекарственные средства и материалы, применяемые в медицинских целях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CA8303B" w14:textId="776BF545" w:rsidR="00B07414" w:rsidRPr="00B07414" w:rsidRDefault="00B07414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Машины и оборудовани</w:t>
                            </w:r>
                            <w:r w:rsidR="00172144">
                              <w:rPr>
                                <w:kern w:val="24"/>
                                <w:sz w:val="22"/>
                                <w:szCs w:val="22"/>
                              </w:rPr>
                              <w:t>е</w:t>
                            </w:r>
                            <w:r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, не включенные в другие группировки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04A16F" w14:textId="6A8FB100" w:rsidR="003F351A" w:rsidRDefault="00B07414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351A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Компьютеры, электронные и оптические изделия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5864F14" w14:textId="05B59630" w:rsidR="003F351A" w:rsidRDefault="003F351A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4.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Готовые металлические изделия, кроме машин и оборудования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24F71E7" w14:textId="28A7E8DA" w:rsidR="003F351A" w:rsidRDefault="003F351A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F351A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Прочие транспортные средства и оборудовани</w:t>
                            </w:r>
                            <w:r w:rsidR="00172144">
                              <w:rPr>
                                <w:kern w:val="24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4EF5F7" w14:textId="0D10EC65" w:rsidR="00B07414" w:rsidRPr="00B07414" w:rsidRDefault="00510A2E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="003F351A" w:rsidRPr="003F351A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7F03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Химические вещества и химические продукты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31C7CC5" w14:textId="6DACE488" w:rsidR="00B07414" w:rsidRPr="00B07414" w:rsidRDefault="00510A2E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  <w:r w:rsidR="00B07414"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7F03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Напитки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6EB5FB8" w14:textId="77B1FF68" w:rsidR="00B07414" w:rsidRDefault="00510A2E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r w:rsidR="00B07414"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7F03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Электрическое оборудование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4C1197B" w14:textId="1A78A78A" w:rsidR="003F351A" w:rsidRPr="00B07414" w:rsidRDefault="00510A2E" w:rsidP="003F351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9</w:t>
                            </w:r>
                            <w:r w:rsidR="003F351A" w:rsidRPr="00DC4DE7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Пищевые продукты.</w:t>
                            </w:r>
                          </w:p>
                          <w:p w14:paraId="2AA8DA26" w14:textId="7DAB2403" w:rsidR="003F351A" w:rsidRDefault="00510A2E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10</w:t>
                            </w:r>
                            <w:r w:rsidR="003F351A" w:rsidRPr="003F351A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Мет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>а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ллы</w:t>
                            </w:r>
                          </w:p>
                          <w:p w14:paraId="042DD6CD" w14:textId="21125FBB" w:rsidR="00637F03" w:rsidRDefault="00510A2E" w:rsidP="00637F03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11</w:t>
                            </w:r>
                            <w:r w:rsidR="00637F03"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637F03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7F03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Прочая неметаллическая минеральная продукция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CE69A2B" w14:textId="73C69E7B" w:rsidR="004C6902" w:rsidRPr="003D0366" w:rsidRDefault="00B07414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510A2E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Иная продукция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6D7730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width:514.4pt;height:16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" filled="f" stroked="f">
                <v:textbox>
                  <w:txbxContent>
                    <w:p w14:paraId="414B9BE3" w14:textId="3E10F5A5" w:rsidR="00B07414" w:rsidRPr="00B07414" w:rsidRDefault="004C6902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r w:rsidR="00B07414" w:rsidRPr="00B07414">
                        <w:rPr>
                          <w:kern w:val="24"/>
                          <w:sz w:val="22"/>
                          <w:szCs w:val="22"/>
                        </w:rPr>
                        <w:t>Лекарственные средства и материалы, применяемые в медицинских целях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0CA8303B" w14:textId="776BF545" w:rsidR="00B07414" w:rsidRPr="00B07414" w:rsidRDefault="00B07414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2.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07414">
                        <w:rPr>
                          <w:kern w:val="24"/>
                          <w:sz w:val="22"/>
                          <w:szCs w:val="22"/>
                        </w:rPr>
                        <w:t>Машины и оборудовани</w:t>
                      </w:r>
                      <w:r w:rsidR="00172144">
                        <w:rPr>
                          <w:kern w:val="24"/>
                          <w:sz w:val="22"/>
                          <w:szCs w:val="22"/>
                        </w:rPr>
                        <w:t>е</w:t>
                      </w:r>
                      <w:r w:rsidRPr="00B07414">
                        <w:rPr>
                          <w:kern w:val="24"/>
                          <w:sz w:val="22"/>
                          <w:szCs w:val="22"/>
                        </w:rPr>
                        <w:t>, не включенные в другие группировки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0904A16F" w14:textId="6A8FB100" w:rsidR="003F351A" w:rsidRDefault="00B07414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3.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3F351A" w:rsidRPr="00B07414">
                        <w:rPr>
                          <w:kern w:val="24"/>
                          <w:sz w:val="22"/>
                          <w:szCs w:val="22"/>
                        </w:rPr>
                        <w:t>Компьютеры, электронные и оптические изделия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25864F14" w14:textId="05B59630" w:rsidR="003F351A" w:rsidRDefault="003F351A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4.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07414">
                        <w:rPr>
                          <w:kern w:val="24"/>
                          <w:sz w:val="22"/>
                          <w:szCs w:val="22"/>
                        </w:rPr>
                        <w:t>Готовые металлические изделия, кроме машин и оборудования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224F71E7" w14:textId="28A7E8DA" w:rsidR="003F351A" w:rsidRDefault="003F351A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3F351A">
                        <w:rPr>
                          <w:b/>
                          <w:kern w:val="24"/>
                          <w:sz w:val="22"/>
                          <w:szCs w:val="22"/>
                        </w:rPr>
                        <w:t>5.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07414">
                        <w:rPr>
                          <w:kern w:val="24"/>
                          <w:sz w:val="22"/>
                          <w:szCs w:val="22"/>
                        </w:rPr>
                        <w:t>Прочие транспортные средства и оборудовани</w:t>
                      </w:r>
                      <w:r w:rsidR="00172144">
                        <w:rPr>
                          <w:kern w:val="24"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2B4EF5F7" w14:textId="0D10EC65" w:rsidR="00B07414" w:rsidRPr="00B07414" w:rsidRDefault="00510A2E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6</w:t>
                      </w:r>
                      <w:r w:rsidR="003F351A" w:rsidRPr="003F351A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637F03" w:rsidRPr="00B07414">
                        <w:rPr>
                          <w:kern w:val="24"/>
                          <w:sz w:val="22"/>
                          <w:szCs w:val="22"/>
                        </w:rPr>
                        <w:t>Химические вещества и химические продукты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431C7CC5" w14:textId="6DACE488" w:rsidR="00B07414" w:rsidRPr="00B07414" w:rsidRDefault="00510A2E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7</w:t>
                      </w:r>
                      <w:r w:rsidR="00B07414"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="00B07414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637F03" w:rsidRPr="00B07414">
                        <w:rPr>
                          <w:kern w:val="24"/>
                          <w:sz w:val="22"/>
                          <w:szCs w:val="22"/>
                        </w:rPr>
                        <w:t>Напитки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36EB5FB8" w14:textId="77B1FF68" w:rsidR="00B07414" w:rsidRDefault="00510A2E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8</w:t>
                      </w:r>
                      <w:r w:rsidR="00B07414"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="00B07414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637F03" w:rsidRPr="00B07414">
                        <w:rPr>
                          <w:kern w:val="24"/>
                          <w:sz w:val="22"/>
                          <w:szCs w:val="22"/>
                        </w:rPr>
                        <w:t>Электрическое оборудование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74C1197B" w14:textId="1A78A78A" w:rsidR="003F351A" w:rsidRPr="00B07414" w:rsidRDefault="00510A2E" w:rsidP="003F351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9</w:t>
                      </w:r>
                      <w:r w:rsidR="003F351A" w:rsidRPr="00DC4DE7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 xml:space="preserve"> Пищевые продукты.</w:t>
                      </w:r>
                    </w:p>
                    <w:p w14:paraId="2AA8DA26" w14:textId="7DAB2403" w:rsidR="003F351A" w:rsidRDefault="00510A2E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10</w:t>
                      </w:r>
                      <w:r w:rsidR="003F351A" w:rsidRPr="003F351A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 xml:space="preserve"> Мет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>а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ллы</w:t>
                      </w:r>
                    </w:p>
                    <w:p w14:paraId="042DD6CD" w14:textId="21125FBB" w:rsidR="00637F03" w:rsidRDefault="00510A2E" w:rsidP="00637F03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11</w:t>
                      </w:r>
                      <w:r w:rsidR="00637F03"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="00637F03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637F03" w:rsidRPr="00B07414">
                        <w:rPr>
                          <w:kern w:val="24"/>
                          <w:sz w:val="22"/>
                          <w:szCs w:val="22"/>
                        </w:rPr>
                        <w:t>Прочая неметаллическая минеральная продукция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6CE69A2B" w14:textId="73C69E7B" w:rsidR="004C6902" w:rsidRPr="003D0366" w:rsidRDefault="00B07414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1</w:t>
                      </w:r>
                      <w:r w:rsidR="00510A2E">
                        <w:rPr>
                          <w:b/>
                          <w:kern w:val="24"/>
                          <w:sz w:val="22"/>
                          <w:szCs w:val="22"/>
                        </w:rPr>
                        <w:t>2</w:t>
                      </w: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07414">
                        <w:rPr>
                          <w:kern w:val="24"/>
                          <w:sz w:val="22"/>
                          <w:szCs w:val="22"/>
                        </w:rPr>
                        <w:t>Иная продукция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A2D70F" w14:textId="2A45B557" w:rsidR="00945518" w:rsidRPr="003D0366" w:rsidRDefault="00B70F00" w:rsidP="00E24791">
      <w:pPr>
        <w:spacing w:after="0" w:line="240" w:lineRule="auto"/>
        <w:jc w:val="center"/>
        <w:rPr>
          <w:i/>
          <w:sz w:val="20"/>
          <w:szCs w:val="20"/>
        </w:rPr>
      </w:pPr>
      <w:r w:rsidRPr="00C732B0">
        <w:rPr>
          <w:i/>
          <w:sz w:val="20"/>
          <w:szCs w:val="20"/>
        </w:rPr>
        <w:t xml:space="preserve">Источник: </w:t>
      </w:r>
      <w:proofErr w:type="spellStart"/>
      <w:r w:rsidRPr="00C732B0">
        <w:rPr>
          <w:i/>
          <w:sz w:val="20"/>
          <w:szCs w:val="20"/>
        </w:rPr>
        <w:t>Петростат</w:t>
      </w:r>
      <w:proofErr w:type="spellEnd"/>
    </w:p>
    <w:p w14:paraId="547D3195" w14:textId="77777777" w:rsidR="008A43EC" w:rsidRPr="008A43EC" w:rsidRDefault="008A43EC" w:rsidP="00E24791">
      <w:pPr>
        <w:spacing w:after="0" w:line="240" w:lineRule="auto"/>
        <w:jc w:val="center"/>
        <w:rPr>
          <w:i/>
          <w:sz w:val="20"/>
          <w:szCs w:val="20"/>
        </w:rPr>
      </w:pPr>
    </w:p>
    <w:p w14:paraId="2AE5C6B5" w14:textId="52500975" w:rsidR="00BB3866" w:rsidRPr="00F771A8" w:rsidRDefault="00BA0486" w:rsidP="00E24791">
      <w:pPr>
        <w:tabs>
          <w:tab w:val="left" w:pos="993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По итогам </w:t>
      </w:r>
      <w:r w:rsidR="0035252C">
        <w:rPr>
          <w:sz w:val="24"/>
          <w:szCs w:val="24"/>
        </w:rPr>
        <w:t>2</w:t>
      </w:r>
      <w:r w:rsidR="00B410A4">
        <w:rPr>
          <w:sz w:val="24"/>
          <w:szCs w:val="24"/>
        </w:rPr>
        <w:t>-го кварта</w:t>
      </w:r>
      <w:r w:rsidR="00C42DA1">
        <w:rPr>
          <w:sz w:val="24"/>
          <w:szCs w:val="24"/>
        </w:rPr>
        <w:t xml:space="preserve">ла </w:t>
      </w:r>
      <w:r w:rsidR="00B410A4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</w:t>
      </w:r>
      <w:r>
        <w:rPr>
          <w:sz w:val="24"/>
        </w:rPr>
        <w:t xml:space="preserve"> </w:t>
      </w:r>
      <w:r w:rsidRPr="00F771A8">
        <w:rPr>
          <w:sz w:val="24"/>
        </w:rPr>
        <w:t>наибольшая доля инвестиций (</w:t>
      </w:r>
      <w:r w:rsidR="00F771A8" w:rsidRPr="00F771A8">
        <w:rPr>
          <w:sz w:val="24"/>
        </w:rPr>
        <w:t xml:space="preserve">рис. </w:t>
      </w:r>
      <w:r w:rsidR="00F771A8">
        <w:rPr>
          <w:sz w:val="24"/>
        </w:rPr>
        <w:t>3</w:t>
      </w:r>
      <w:r w:rsidRPr="00F771A8">
        <w:rPr>
          <w:sz w:val="24"/>
        </w:rPr>
        <w:t xml:space="preserve">) в основной капитал </w:t>
      </w:r>
      <w:r w:rsidR="00D52231" w:rsidRPr="00F771A8">
        <w:rPr>
          <w:sz w:val="24"/>
        </w:rPr>
        <w:t>в</w:t>
      </w:r>
      <w:r w:rsidRPr="00F771A8">
        <w:rPr>
          <w:sz w:val="24"/>
        </w:rPr>
        <w:t> обрабатывающих производствах Санкт-Петербурга пришлась на</w:t>
      </w:r>
      <w:r w:rsidR="00BB3866" w:rsidRPr="00F771A8">
        <w:rPr>
          <w:sz w:val="24"/>
        </w:rPr>
        <w:t xml:space="preserve"> производств</w:t>
      </w:r>
      <w:r w:rsidRPr="00F771A8">
        <w:rPr>
          <w:sz w:val="24"/>
        </w:rPr>
        <w:t>о</w:t>
      </w:r>
      <w:r w:rsidR="00BB3866" w:rsidRPr="00F771A8">
        <w:rPr>
          <w:sz w:val="24"/>
        </w:rPr>
        <w:t xml:space="preserve"> лекарственных средств и материалов, применяемых в медицинских целях</w:t>
      </w:r>
      <w:r w:rsidRPr="00F771A8">
        <w:rPr>
          <w:sz w:val="24"/>
        </w:rPr>
        <w:t xml:space="preserve">. </w:t>
      </w:r>
      <w:r w:rsidR="004A6A9A" w:rsidRPr="00F771A8">
        <w:rPr>
          <w:sz w:val="24"/>
        </w:rPr>
        <w:t>Снижение</w:t>
      </w:r>
      <w:r w:rsidRPr="00F771A8">
        <w:rPr>
          <w:sz w:val="24"/>
        </w:rPr>
        <w:t xml:space="preserve"> доли инвестиций составил</w:t>
      </w:r>
      <w:r w:rsidR="004A6A9A" w:rsidRPr="00F771A8">
        <w:rPr>
          <w:sz w:val="24"/>
        </w:rPr>
        <w:t>о</w:t>
      </w:r>
      <w:r w:rsidRPr="00F771A8">
        <w:rPr>
          <w:sz w:val="24"/>
        </w:rPr>
        <w:t xml:space="preserve"> </w:t>
      </w:r>
      <w:r w:rsidR="0035252C">
        <w:rPr>
          <w:sz w:val="24"/>
        </w:rPr>
        <w:t>2,4</w:t>
      </w:r>
      <w:r w:rsidR="004A6A9A" w:rsidRPr="00F771A8">
        <w:rPr>
          <w:sz w:val="24"/>
        </w:rPr>
        <w:t> </w:t>
      </w:r>
      <w:r w:rsidRPr="00F771A8">
        <w:rPr>
          <w:sz w:val="24"/>
        </w:rPr>
        <w:t>п</w:t>
      </w:r>
      <w:r w:rsidR="004A6A9A" w:rsidRPr="00F771A8">
        <w:rPr>
          <w:sz w:val="24"/>
        </w:rPr>
        <w:t>роцентных пункта (далее – </w:t>
      </w:r>
      <w:proofErr w:type="spellStart"/>
      <w:r w:rsidR="004A6A9A" w:rsidRPr="00F771A8">
        <w:rPr>
          <w:sz w:val="24"/>
        </w:rPr>
        <w:t>п.п</w:t>
      </w:r>
      <w:proofErr w:type="spellEnd"/>
      <w:r w:rsidR="004A6A9A" w:rsidRPr="00F771A8">
        <w:rPr>
          <w:sz w:val="24"/>
        </w:rPr>
        <w:t>.)</w:t>
      </w:r>
      <w:r w:rsidRPr="00F771A8">
        <w:rPr>
          <w:sz w:val="24"/>
        </w:rPr>
        <w:t>, ИФО – 1</w:t>
      </w:r>
      <w:r w:rsidR="0035252C">
        <w:rPr>
          <w:sz w:val="24"/>
        </w:rPr>
        <w:t>08,5</w:t>
      </w:r>
      <w:r w:rsidRPr="00F771A8">
        <w:rPr>
          <w:sz w:val="24"/>
        </w:rPr>
        <w:t>%.</w:t>
      </w:r>
      <w:r w:rsidR="00BB3866" w:rsidRPr="00F771A8">
        <w:rPr>
          <w:sz w:val="24"/>
        </w:rPr>
        <w:t xml:space="preserve"> Этому способствовали мероприятия, направленные на локализацию в</w:t>
      </w:r>
      <w:r w:rsidR="004A6A9A" w:rsidRPr="00F771A8">
        <w:rPr>
          <w:sz w:val="24"/>
        </w:rPr>
        <w:t> </w:t>
      </w:r>
      <w:r w:rsidR="00BB3866" w:rsidRPr="00F771A8">
        <w:rPr>
          <w:sz w:val="24"/>
        </w:rPr>
        <w:t>Санкт-Петербурге производства ряда медицинских препаратов, в</w:t>
      </w:r>
      <w:r w:rsidR="004A6A9A" w:rsidRPr="00F771A8">
        <w:rPr>
          <w:sz w:val="24"/>
        </w:rPr>
        <w:t> </w:t>
      </w:r>
      <w:r w:rsidR="00BB3866" w:rsidRPr="00F771A8">
        <w:rPr>
          <w:sz w:val="24"/>
        </w:rPr>
        <w:t>частности, заключение специальных инвестиционных контрактов (СПИК 1.0)</w:t>
      </w:r>
      <w:r w:rsidR="004A6A9A" w:rsidRPr="00F771A8">
        <w:rPr>
          <w:sz w:val="24"/>
        </w:rPr>
        <w:t xml:space="preserve"> </w:t>
      </w:r>
      <w:r w:rsidR="00BB3866" w:rsidRPr="00F771A8">
        <w:rPr>
          <w:sz w:val="24"/>
        </w:rPr>
        <w:t>с</w:t>
      </w:r>
      <w:r w:rsidR="004A6A9A" w:rsidRPr="00F771A8">
        <w:rPr>
          <w:sz w:val="24"/>
        </w:rPr>
        <w:t> </w:t>
      </w:r>
      <w:r w:rsidR="00BB3866" w:rsidRPr="00F771A8">
        <w:rPr>
          <w:sz w:val="24"/>
        </w:rPr>
        <w:t xml:space="preserve">фармакологическими компаниями </w:t>
      </w:r>
      <w:proofErr w:type="spellStart"/>
      <w:r w:rsidR="00BB3866" w:rsidRPr="00F771A8">
        <w:rPr>
          <w:sz w:val="24"/>
        </w:rPr>
        <w:t>Ге</w:t>
      </w:r>
      <w:r w:rsidR="00D52231" w:rsidRPr="00F771A8">
        <w:rPr>
          <w:sz w:val="24"/>
        </w:rPr>
        <w:t>р</w:t>
      </w:r>
      <w:r w:rsidR="00BB3866" w:rsidRPr="00F771A8">
        <w:rPr>
          <w:sz w:val="24"/>
        </w:rPr>
        <w:t>офарм</w:t>
      </w:r>
      <w:proofErr w:type="spellEnd"/>
      <w:r w:rsidR="00BB3866" w:rsidRPr="00F771A8">
        <w:rPr>
          <w:sz w:val="24"/>
        </w:rPr>
        <w:t xml:space="preserve">, </w:t>
      </w:r>
      <w:proofErr w:type="spellStart"/>
      <w:r w:rsidR="00BB3866" w:rsidRPr="00F771A8">
        <w:rPr>
          <w:sz w:val="24"/>
        </w:rPr>
        <w:t>Биокад</w:t>
      </w:r>
      <w:proofErr w:type="spellEnd"/>
      <w:r w:rsidR="00BB3866" w:rsidRPr="00F771A8">
        <w:rPr>
          <w:sz w:val="24"/>
        </w:rPr>
        <w:t xml:space="preserve"> и Активный компонент и офсетного контракта с Р-Фарм.</w:t>
      </w:r>
    </w:p>
    <w:p w14:paraId="49E3599B" w14:textId="0AB7A3CD" w:rsidR="008F248C" w:rsidRPr="00234E8E" w:rsidRDefault="00BA0486" w:rsidP="00E24791">
      <w:pPr>
        <w:tabs>
          <w:tab w:val="left" w:pos="993"/>
        </w:tabs>
        <w:spacing w:after="0" w:line="240" w:lineRule="auto"/>
        <w:ind w:firstLine="567"/>
        <w:jc w:val="both"/>
        <w:rPr>
          <w:sz w:val="24"/>
        </w:rPr>
      </w:pPr>
      <w:r w:rsidRPr="00F771A8">
        <w:rPr>
          <w:sz w:val="24"/>
        </w:rPr>
        <w:t>Наибольший рост инвестиций (</w:t>
      </w:r>
      <w:r w:rsidR="0035252C">
        <w:rPr>
          <w:sz w:val="24"/>
        </w:rPr>
        <w:t>210</w:t>
      </w:r>
      <w:r w:rsidRPr="00F771A8">
        <w:rPr>
          <w:sz w:val="24"/>
        </w:rPr>
        <w:t>%)</w:t>
      </w:r>
      <w:r w:rsidR="002B0274" w:rsidRPr="00F771A8">
        <w:rPr>
          <w:sz w:val="24"/>
        </w:rPr>
        <w:t xml:space="preserve"> зафиксирован</w:t>
      </w:r>
      <w:r w:rsidRPr="00F771A8">
        <w:rPr>
          <w:sz w:val="24"/>
        </w:rPr>
        <w:t xml:space="preserve"> в </w:t>
      </w:r>
      <w:r w:rsidR="008F248C" w:rsidRPr="00F771A8">
        <w:rPr>
          <w:sz w:val="24"/>
        </w:rPr>
        <w:t>производств</w:t>
      </w:r>
      <w:r w:rsidRPr="00F771A8">
        <w:rPr>
          <w:sz w:val="24"/>
        </w:rPr>
        <w:t>е</w:t>
      </w:r>
      <w:r w:rsidR="008F248C" w:rsidRPr="00F771A8">
        <w:rPr>
          <w:sz w:val="24"/>
        </w:rPr>
        <w:t xml:space="preserve"> </w:t>
      </w:r>
      <w:r w:rsidR="000A7963">
        <w:rPr>
          <w:sz w:val="24"/>
        </w:rPr>
        <w:t xml:space="preserve">химических веществ </w:t>
      </w:r>
      <w:r w:rsidR="000A7963">
        <w:rPr>
          <w:sz w:val="24"/>
        </w:rPr>
        <w:br/>
        <w:t>и продуктов</w:t>
      </w:r>
      <w:r w:rsidR="008F248C" w:rsidRPr="00F771A8">
        <w:rPr>
          <w:sz w:val="24"/>
        </w:rPr>
        <w:t>.</w:t>
      </w:r>
      <w:r w:rsidR="00234E8E">
        <w:rPr>
          <w:sz w:val="24"/>
        </w:rPr>
        <w:t xml:space="preserve"> Увеличение показателя было достигнуто в том числе за счет строительства на территории особой экономической зоны «Санкт-Петербург» нового предприятия по производству косметики.</w:t>
      </w:r>
      <w:r w:rsidR="00234E8E">
        <w:rPr>
          <w:rStyle w:val="ab"/>
          <w:sz w:val="24"/>
        </w:rPr>
        <w:footnoteReference w:id="3"/>
      </w:r>
      <w:r w:rsidR="00234E8E">
        <w:rPr>
          <w:sz w:val="24"/>
        </w:rPr>
        <w:t xml:space="preserve"> </w:t>
      </w:r>
    </w:p>
    <w:p w14:paraId="28D48BD9" w14:textId="4B6CD812" w:rsidR="00601473" w:rsidRPr="00F771A8" w:rsidRDefault="000949D1" w:rsidP="000A7963">
      <w:pPr>
        <w:tabs>
          <w:tab w:val="left" w:pos="993"/>
        </w:tabs>
        <w:spacing w:after="0" w:line="240" w:lineRule="auto"/>
        <w:ind w:firstLine="567"/>
        <w:jc w:val="both"/>
        <w:rPr>
          <w:sz w:val="24"/>
        </w:rPr>
      </w:pPr>
      <w:r w:rsidRPr="00F771A8">
        <w:rPr>
          <w:sz w:val="24"/>
        </w:rPr>
        <w:t>Среди отраслей обрабатывающей промышленности с объемом инвестиций в основной капитал более 2% з</w:t>
      </w:r>
      <w:r w:rsidR="00A008E9" w:rsidRPr="00F771A8">
        <w:rPr>
          <w:sz w:val="24"/>
        </w:rPr>
        <w:t>начительный рост был</w:t>
      </w:r>
      <w:r w:rsidR="00BA0486" w:rsidRPr="00F771A8">
        <w:rPr>
          <w:sz w:val="24"/>
        </w:rPr>
        <w:t xml:space="preserve"> также</w:t>
      </w:r>
      <w:r w:rsidR="00A008E9" w:rsidRPr="00F771A8">
        <w:rPr>
          <w:sz w:val="24"/>
        </w:rPr>
        <w:t xml:space="preserve"> продемонстрирован</w:t>
      </w:r>
      <w:r w:rsidR="00BA0486" w:rsidRPr="00F771A8">
        <w:rPr>
          <w:sz w:val="24"/>
        </w:rPr>
        <w:t xml:space="preserve"> в производстве</w:t>
      </w:r>
      <w:r w:rsidR="00BA0486" w:rsidRPr="00BA0486">
        <w:rPr>
          <w:sz w:val="24"/>
        </w:rPr>
        <w:t xml:space="preserve"> </w:t>
      </w:r>
      <w:r w:rsidR="000A7963" w:rsidRPr="00F771A8">
        <w:rPr>
          <w:sz w:val="24"/>
        </w:rPr>
        <w:t>прочих транспортных средств и оборудования</w:t>
      </w:r>
      <w:r w:rsidR="00635594" w:rsidRPr="00F771A8">
        <w:rPr>
          <w:sz w:val="24"/>
        </w:rPr>
        <w:t xml:space="preserve"> (</w:t>
      </w:r>
      <w:r w:rsidR="000A7963">
        <w:rPr>
          <w:sz w:val="24"/>
        </w:rPr>
        <w:t>2</w:t>
      </w:r>
      <w:r w:rsidR="0035252C">
        <w:rPr>
          <w:sz w:val="24"/>
        </w:rPr>
        <w:t>0</w:t>
      </w:r>
      <w:r w:rsidR="000A7963">
        <w:rPr>
          <w:sz w:val="24"/>
        </w:rPr>
        <w:t>0</w:t>
      </w:r>
      <w:r w:rsidR="00635594" w:rsidRPr="00F771A8">
        <w:rPr>
          <w:sz w:val="24"/>
        </w:rPr>
        <w:t>%)</w:t>
      </w:r>
      <w:r w:rsidR="000A7963">
        <w:rPr>
          <w:sz w:val="24"/>
        </w:rPr>
        <w:t>,</w:t>
      </w:r>
      <w:r w:rsidR="0035252C" w:rsidRPr="0035252C">
        <w:rPr>
          <w:sz w:val="24"/>
        </w:rPr>
        <w:t xml:space="preserve"> </w:t>
      </w:r>
      <w:r w:rsidR="0035252C">
        <w:rPr>
          <w:sz w:val="24"/>
        </w:rPr>
        <w:t>электрического оборудования (160%),</w:t>
      </w:r>
      <w:r w:rsidR="0035252C" w:rsidRPr="0035252C">
        <w:t xml:space="preserve"> </w:t>
      </w:r>
      <w:r w:rsidR="0035252C">
        <w:rPr>
          <w:sz w:val="24"/>
        </w:rPr>
        <w:t>п</w:t>
      </w:r>
      <w:r w:rsidR="0035252C" w:rsidRPr="0035252C">
        <w:rPr>
          <w:sz w:val="24"/>
        </w:rPr>
        <w:t>роч</w:t>
      </w:r>
      <w:r w:rsidR="0035252C">
        <w:rPr>
          <w:sz w:val="24"/>
        </w:rPr>
        <w:t>ей</w:t>
      </w:r>
      <w:r w:rsidR="0035252C" w:rsidRPr="0035252C">
        <w:rPr>
          <w:sz w:val="24"/>
        </w:rPr>
        <w:t xml:space="preserve"> неметаллическ</w:t>
      </w:r>
      <w:r w:rsidR="0035252C">
        <w:rPr>
          <w:sz w:val="24"/>
        </w:rPr>
        <w:t>ой</w:t>
      </w:r>
      <w:r w:rsidR="0035252C" w:rsidRPr="0035252C">
        <w:rPr>
          <w:sz w:val="24"/>
        </w:rPr>
        <w:t xml:space="preserve"> минеральн</w:t>
      </w:r>
      <w:r w:rsidR="0035252C">
        <w:rPr>
          <w:sz w:val="24"/>
        </w:rPr>
        <w:t>ой</w:t>
      </w:r>
      <w:r w:rsidR="0035252C" w:rsidRPr="0035252C">
        <w:rPr>
          <w:sz w:val="24"/>
        </w:rPr>
        <w:t xml:space="preserve"> продукци</w:t>
      </w:r>
      <w:r w:rsidR="0035252C">
        <w:rPr>
          <w:sz w:val="24"/>
        </w:rPr>
        <w:t>и (141,5%)</w:t>
      </w:r>
      <w:r w:rsidR="00496932">
        <w:rPr>
          <w:sz w:val="24"/>
        </w:rPr>
        <w:t xml:space="preserve"> и напитков (140,1%).</w:t>
      </w:r>
    </w:p>
    <w:p w14:paraId="0DFF284A" w14:textId="0F522A11" w:rsidR="00234E8E" w:rsidRDefault="00234E8E">
      <w:pPr>
        <w:rPr>
          <w:sz w:val="24"/>
        </w:rPr>
      </w:pPr>
      <w:r>
        <w:rPr>
          <w:sz w:val="24"/>
        </w:rPr>
        <w:br w:type="page"/>
      </w:r>
    </w:p>
    <w:p w14:paraId="2F857183" w14:textId="41ABC6C0" w:rsidR="00B70F00" w:rsidRPr="00B50BE7" w:rsidRDefault="00B70F00" w:rsidP="00E24791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C732B0">
        <w:rPr>
          <w:b/>
          <w:sz w:val="24"/>
          <w:szCs w:val="24"/>
        </w:rPr>
        <w:lastRenderedPageBreak/>
        <w:t xml:space="preserve">3. Инвестиции в основной капитал (без субъектов малого предпринимательства) по источникам финансирования </w:t>
      </w:r>
    </w:p>
    <w:p w14:paraId="2D606D9B" w14:textId="005B1C70" w:rsidR="00B70F00" w:rsidRPr="00F771A8" w:rsidRDefault="0006453C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70F00" w:rsidRPr="00C732B0">
        <w:rPr>
          <w:sz w:val="24"/>
          <w:szCs w:val="24"/>
        </w:rPr>
        <w:t>труктур</w:t>
      </w:r>
      <w:r>
        <w:rPr>
          <w:sz w:val="24"/>
          <w:szCs w:val="24"/>
        </w:rPr>
        <w:t>а</w:t>
      </w:r>
      <w:r w:rsidR="00B70F00" w:rsidRPr="00C732B0">
        <w:rPr>
          <w:sz w:val="24"/>
          <w:szCs w:val="24"/>
        </w:rPr>
        <w:t xml:space="preserve"> инвестиций в основной капитал по источникам финансирования</w:t>
      </w:r>
      <w:r w:rsidR="00F771A8">
        <w:rPr>
          <w:sz w:val="24"/>
          <w:szCs w:val="24"/>
        </w:rPr>
        <w:t xml:space="preserve"> (</w:t>
      </w:r>
      <w:r w:rsidR="00F771A8" w:rsidRPr="00F771A8">
        <w:rPr>
          <w:sz w:val="24"/>
        </w:rPr>
        <w:t xml:space="preserve">рис. </w:t>
      </w:r>
      <w:r w:rsidR="00F771A8">
        <w:rPr>
          <w:sz w:val="24"/>
        </w:rPr>
        <w:t>4</w:t>
      </w:r>
      <w:r w:rsidR="00F771A8" w:rsidRPr="00F771A8">
        <w:rPr>
          <w:sz w:val="24"/>
        </w:rPr>
        <w:t>)</w:t>
      </w:r>
      <w:r w:rsidR="00B70F00" w:rsidRPr="00C732B0">
        <w:rPr>
          <w:sz w:val="24"/>
          <w:szCs w:val="24"/>
        </w:rPr>
        <w:t xml:space="preserve"> </w:t>
      </w:r>
      <w:r w:rsidR="00AC794A">
        <w:rPr>
          <w:sz w:val="24"/>
          <w:szCs w:val="24"/>
        </w:rPr>
        <w:br/>
      </w:r>
      <w:r w:rsidR="00B70F00" w:rsidRPr="00C732B0">
        <w:rPr>
          <w:sz w:val="24"/>
          <w:szCs w:val="24"/>
        </w:rPr>
        <w:t xml:space="preserve">в </w:t>
      </w:r>
      <w:r w:rsidR="00496932">
        <w:rPr>
          <w:sz w:val="24"/>
          <w:szCs w:val="24"/>
        </w:rPr>
        <w:t>2</w:t>
      </w:r>
      <w:r w:rsidR="00AC794A">
        <w:rPr>
          <w:sz w:val="24"/>
          <w:szCs w:val="24"/>
        </w:rPr>
        <w:t xml:space="preserve">-м квартале 2024 </w:t>
      </w:r>
      <w:r w:rsidR="00B70F00" w:rsidRPr="00C732B0">
        <w:rPr>
          <w:sz w:val="24"/>
          <w:szCs w:val="24"/>
        </w:rPr>
        <w:t>год</w:t>
      </w:r>
      <w:r w:rsidR="00AC794A">
        <w:rPr>
          <w:sz w:val="24"/>
          <w:szCs w:val="24"/>
        </w:rPr>
        <w:t>а</w:t>
      </w:r>
      <w:r>
        <w:rPr>
          <w:sz w:val="24"/>
          <w:szCs w:val="24"/>
        </w:rPr>
        <w:t xml:space="preserve"> претерпела </w:t>
      </w:r>
      <w:r w:rsidR="00431FB8">
        <w:rPr>
          <w:sz w:val="24"/>
          <w:szCs w:val="24"/>
        </w:rPr>
        <w:t>некоторые</w:t>
      </w:r>
      <w:r>
        <w:rPr>
          <w:sz w:val="24"/>
          <w:szCs w:val="24"/>
        </w:rPr>
        <w:t xml:space="preserve"> изменени</w:t>
      </w:r>
      <w:r w:rsidR="00431FB8">
        <w:rPr>
          <w:sz w:val="24"/>
          <w:szCs w:val="24"/>
        </w:rPr>
        <w:t>я</w:t>
      </w:r>
      <w:r>
        <w:rPr>
          <w:sz w:val="24"/>
          <w:szCs w:val="24"/>
        </w:rPr>
        <w:t>:</w:t>
      </w:r>
      <w:r w:rsidR="00B70F00" w:rsidRPr="00C732B0">
        <w:rPr>
          <w:sz w:val="24"/>
          <w:szCs w:val="24"/>
        </w:rPr>
        <w:t xml:space="preserve"> </w:t>
      </w:r>
      <w:r w:rsidR="00AC794A">
        <w:rPr>
          <w:sz w:val="24"/>
          <w:szCs w:val="24"/>
        </w:rPr>
        <w:t>уменьшилась</w:t>
      </w:r>
      <w:r w:rsidR="00431FB8">
        <w:rPr>
          <w:sz w:val="24"/>
          <w:szCs w:val="24"/>
        </w:rPr>
        <w:t xml:space="preserve"> доля </w:t>
      </w:r>
      <w:r w:rsidR="00B70F00" w:rsidRPr="00C732B0">
        <w:rPr>
          <w:sz w:val="24"/>
          <w:szCs w:val="24"/>
        </w:rPr>
        <w:t>собственны</w:t>
      </w:r>
      <w:r w:rsidR="00431FB8">
        <w:rPr>
          <w:sz w:val="24"/>
          <w:szCs w:val="24"/>
        </w:rPr>
        <w:t>х</w:t>
      </w:r>
      <w:r w:rsidR="00B70F00" w:rsidRPr="00C732B0">
        <w:rPr>
          <w:sz w:val="24"/>
          <w:szCs w:val="24"/>
        </w:rPr>
        <w:t xml:space="preserve"> с</w:t>
      </w:r>
      <w:r w:rsidR="00431FB8">
        <w:rPr>
          <w:sz w:val="24"/>
          <w:szCs w:val="24"/>
        </w:rPr>
        <w:t>редств предприятий</w:t>
      </w:r>
      <w:r w:rsidR="00B70F00" w:rsidRPr="00C732B0">
        <w:rPr>
          <w:sz w:val="24"/>
          <w:szCs w:val="24"/>
        </w:rPr>
        <w:t xml:space="preserve"> </w:t>
      </w:r>
      <w:r w:rsidR="00431FB8">
        <w:rPr>
          <w:sz w:val="24"/>
          <w:szCs w:val="24"/>
        </w:rPr>
        <w:t xml:space="preserve">с </w:t>
      </w:r>
      <w:r w:rsidR="00AC794A">
        <w:rPr>
          <w:sz w:val="24"/>
          <w:szCs w:val="24"/>
        </w:rPr>
        <w:t>6</w:t>
      </w:r>
      <w:r w:rsidR="00496932">
        <w:rPr>
          <w:sz w:val="24"/>
          <w:szCs w:val="24"/>
        </w:rPr>
        <w:t>4,5</w:t>
      </w:r>
      <w:r w:rsidR="00431FB8" w:rsidRPr="00F771A8">
        <w:rPr>
          <w:sz w:val="24"/>
          <w:szCs w:val="24"/>
        </w:rPr>
        <w:t>% в 202</w:t>
      </w:r>
      <w:r w:rsidR="00AC794A">
        <w:rPr>
          <w:sz w:val="24"/>
          <w:szCs w:val="24"/>
        </w:rPr>
        <w:t>3</w:t>
      </w:r>
      <w:r w:rsidR="00431FB8" w:rsidRPr="00F771A8">
        <w:rPr>
          <w:sz w:val="24"/>
          <w:szCs w:val="24"/>
        </w:rPr>
        <w:t xml:space="preserve"> году до 6</w:t>
      </w:r>
      <w:r w:rsidR="00496932">
        <w:rPr>
          <w:sz w:val="24"/>
          <w:szCs w:val="24"/>
        </w:rPr>
        <w:t>2,2</w:t>
      </w:r>
      <w:r w:rsidR="00431FB8" w:rsidRPr="00F771A8">
        <w:rPr>
          <w:sz w:val="24"/>
          <w:szCs w:val="24"/>
        </w:rPr>
        <w:t>%</w:t>
      </w:r>
      <w:r w:rsidR="000D042E" w:rsidRPr="00F771A8">
        <w:rPr>
          <w:sz w:val="24"/>
          <w:szCs w:val="24"/>
        </w:rPr>
        <w:t xml:space="preserve"> (</w:t>
      </w:r>
      <w:r w:rsidR="00496932">
        <w:rPr>
          <w:sz w:val="24"/>
          <w:szCs w:val="24"/>
        </w:rPr>
        <w:t>289,9</w:t>
      </w:r>
      <w:r w:rsidR="000D042E" w:rsidRPr="00F771A8">
        <w:rPr>
          <w:sz w:val="24"/>
          <w:szCs w:val="24"/>
        </w:rPr>
        <w:t xml:space="preserve"> млрд руб.)</w:t>
      </w:r>
      <w:r w:rsidR="00431FB8" w:rsidRPr="00F771A8">
        <w:rPr>
          <w:sz w:val="24"/>
          <w:szCs w:val="24"/>
        </w:rPr>
        <w:t xml:space="preserve"> </w:t>
      </w:r>
      <w:r w:rsidR="000D042E" w:rsidRPr="00F771A8">
        <w:rPr>
          <w:sz w:val="24"/>
          <w:szCs w:val="24"/>
        </w:rPr>
        <w:t>в 202</w:t>
      </w:r>
      <w:r w:rsidR="00AC794A">
        <w:rPr>
          <w:sz w:val="24"/>
          <w:szCs w:val="24"/>
        </w:rPr>
        <w:t>4</w:t>
      </w:r>
      <w:r w:rsidR="000D042E" w:rsidRPr="00F771A8">
        <w:rPr>
          <w:sz w:val="24"/>
          <w:szCs w:val="24"/>
        </w:rPr>
        <w:t xml:space="preserve"> году</w:t>
      </w:r>
      <w:r w:rsidR="00B70F00" w:rsidRPr="00F771A8">
        <w:rPr>
          <w:sz w:val="24"/>
          <w:szCs w:val="24"/>
        </w:rPr>
        <w:t xml:space="preserve">, </w:t>
      </w:r>
      <w:r w:rsidR="000D042E" w:rsidRPr="00F771A8">
        <w:rPr>
          <w:sz w:val="24"/>
          <w:szCs w:val="24"/>
        </w:rPr>
        <w:t xml:space="preserve">доля </w:t>
      </w:r>
      <w:r w:rsidR="00B70F00" w:rsidRPr="00F771A8">
        <w:rPr>
          <w:sz w:val="24"/>
          <w:szCs w:val="24"/>
        </w:rPr>
        <w:t>привлеченны</w:t>
      </w:r>
      <w:r w:rsidR="000D042E" w:rsidRPr="00F771A8">
        <w:rPr>
          <w:sz w:val="24"/>
          <w:szCs w:val="24"/>
        </w:rPr>
        <w:t xml:space="preserve">х средств, соответственно, </w:t>
      </w:r>
      <w:r w:rsidR="00AC794A">
        <w:rPr>
          <w:sz w:val="24"/>
          <w:szCs w:val="24"/>
        </w:rPr>
        <w:t>увеличилась</w:t>
      </w:r>
      <w:r w:rsidR="00B70F00" w:rsidRPr="00F771A8">
        <w:rPr>
          <w:sz w:val="24"/>
          <w:szCs w:val="24"/>
        </w:rPr>
        <w:t xml:space="preserve"> – </w:t>
      </w:r>
      <w:r w:rsidR="000D042E" w:rsidRPr="00F771A8">
        <w:rPr>
          <w:sz w:val="24"/>
          <w:szCs w:val="24"/>
        </w:rPr>
        <w:t xml:space="preserve">с </w:t>
      </w:r>
      <w:r w:rsidR="00AC794A">
        <w:rPr>
          <w:sz w:val="24"/>
          <w:szCs w:val="24"/>
        </w:rPr>
        <w:t>3</w:t>
      </w:r>
      <w:r w:rsidR="00496932">
        <w:rPr>
          <w:sz w:val="24"/>
          <w:szCs w:val="24"/>
        </w:rPr>
        <w:t>5,5</w:t>
      </w:r>
      <w:r w:rsidR="00B70F00" w:rsidRPr="00F771A8">
        <w:rPr>
          <w:sz w:val="24"/>
          <w:szCs w:val="24"/>
        </w:rPr>
        <w:t xml:space="preserve">% </w:t>
      </w:r>
      <w:r w:rsidR="000D042E" w:rsidRPr="00F771A8">
        <w:rPr>
          <w:sz w:val="24"/>
          <w:szCs w:val="24"/>
        </w:rPr>
        <w:t>в 202</w:t>
      </w:r>
      <w:r w:rsidR="00AC794A">
        <w:rPr>
          <w:sz w:val="24"/>
          <w:szCs w:val="24"/>
        </w:rPr>
        <w:t>3</w:t>
      </w:r>
      <w:r w:rsidR="000D042E" w:rsidRPr="00F771A8">
        <w:rPr>
          <w:sz w:val="24"/>
          <w:szCs w:val="24"/>
        </w:rPr>
        <w:t xml:space="preserve"> году до</w:t>
      </w:r>
      <w:r w:rsidR="00B70F00" w:rsidRPr="00F771A8">
        <w:rPr>
          <w:sz w:val="24"/>
          <w:szCs w:val="24"/>
        </w:rPr>
        <w:t xml:space="preserve"> </w:t>
      </w:r>
      <w:r w:rsidRPr="00F771A8">
        <w:rPr>
          <w:sz w:val="24"/>
          <w:szCs w:val="24"/>
        </w:rPr>
        <w:t>3</w:t>
      </w:r>
      <w:r w:rsidR="00496932">
        <w:rPr>
          <w:sz w:val="24"/>
          <w:szCs w:val="24"/>
        </w:rPr>
        <w:t>7,8</w:t>
      </w:r>
      <w:r w:rsidR="00B70F00" w:rsidRPr="00F771A8">
        <w:rPr>
          <w:sz w:val="24"/>
          <w:szCs w:val="24"/>
        </w:rPr>
        <w:t>%</w:t>
      </w:r>
      <w:r w:rsidR="000D042E" w:rsidRPr="00F771A8">
        <w:rPr>
          <w:sz w:val="24"/>
          <w:szCs w:val="24"/>
        </w:rPr>
        <w:t xml:space="preserve"> (</w:t>
      </w:r>
      <w:r w:rsidR="00496932">
        <w:rPr>
          <w:sz w:val="24"/>
          <w:szCs w:val="24"/>
        </w:rPr>
        <w:t>11,4</w:t>
      </w:r>
      <w:r w:rsidR="000D042E" w:rsidRPr="00F771A8">
        <w:rPr>
          <w:sz w:val="24"/>
          <w:szCs w:val="24"/>
        </w:rPr>
        <w:t xml:space="preserve"> млрд руб.)</w:t>
      </w:r>
      <w:r w:rsidR="00B70F00" w:rsidRPr="00F771A8">
        <w:rPr>
          <w:sz w:val="24"/>
          <w:szCs w:val="24"/>
        </w:rPr>
        <w:t xml:space="preserve"> </w:t>
      </w:r>
      <w:r w:rsidR="000D042E" w:rsidRPr="00F771A8">
        <w:rPr>
          <w:sz w:val="24"/>
          <w:szCs w:val="24"/>
        </w:rPr>
        <w:t>в 202</w:t>
      </w:r>
      <w:r w:rsidR="00AC794A">
        <w:rPr>
          <w:sz w:val="24"/>
          <w:szCs w:val="24"/>
        </w:rPr>
        <w:t>4</w:t>
      </w:r>
      <w:r w:rsidR="000D042E" w:rsidRPr="00F771A8">
        <w:rPr>
          <w:sz w:val="24"/>
          <w:szCs w:val="24"/>
        </w:rPr>
        <w:t xml:space="preserve"> году</w:t>
      </w:r>
      <w:r w:rsidR="00B70F00" w:rsidRPr="00F771A8">
        <w:rPr>
          <w:sz w:val="24"/>
          <w:szCs w:val="24"/>
        </w:rPr>
        <w:t>.</w:t>
      </w:r>
    </w:p>
    <w:p w14:paraId="25C298A9" w14:textId="319AFDA3" w:rsidR="00386F53" w:rsidRPr="00386F53" w:rsidRDefault="00386F53" w:rsidP="00386F53">
      <w:pPr>
        <w:spacing w:before="240" w:after="0" w:line="240" w:lineRule="auto"/>
        <w:jc w:val="center"/>
        <w:rPr>
          <w:b/>
          <w:bCs/>
          <w:szCs w:val="24"/>
        </w:rPr>
      </w:pPr>
      <w:r w:rsidRPr="00386F53">
        <w:rPr>
          <w:b/>
          <w:bCs/>
          <w:szCs w:val="24"/>
        </w:rPr>
        <w:t>Рис. 4. Инвестиции в основной капитал (без субъектов малого предпринимательства) по источникам финансирования</w:t>
      </w:r>
      <w:r w:rsidR="00D913CA">
        <w:rPr>
          <w:b/>
          <w:bCs/>
          <w:szCs w:val="24"/>
        </w:rPr>
        <w:t xml:space="preserve"> за январь – </w:t>
      </w:r>
      <w:r w:rsidR="00496932">
        <w:rPr>
          <w:b/>
          <w:bCs/>
          <w:szCs w:val="24"/>
        </w:rPr>
        <w:t>июнь</w:t>
      </w:r>
      <w:r>
        <w:rPr>
          <w:b/>
          <w:bCs/>
          <w:szCs w:val="24"/>
        </w:rPr>
        <w:t>, %</w:t>
      </w:r>
    </w:p>
    <w:p w14:paraId="0C276E31" w14:textId="5534BDBB" w:rsidR="00EF6602" w:rsidRDefault="00B70F00" w:rsidP="00E24791">
      <w:pPr>
        <w:spacing w:line="240" w:lineRule="auto"/>
        <w:jc w:val="center"/>
        <w:rPr>
          <w:i/>
          <w:sz w:val="20"/>
          <w:szCs w:val="20"/>
        </w:rPr>
      </w:pPr>
      <w:r w:rsidRPr="00D37217">
        <w:rPr>
          <w:noProof/>
          <w:color w:val="808080"/>
          <w:sz w:val="24"/>
          <w:szCs w:val="24"/>
          <w:lang w:eastAsia="ru-RU"/>
        </w:rPr>
        <w:drawing>
          <wp:inline distT="0" distB="0" distL="0" distR="0" wp14:anchorId="7AF8A378" wp14:editId="23B54BB1">
            <wp:extent cx="6644640" cy="4819650"/>
            <wp:effectExtent l="0" t="0" r="381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C732B0">
        <w:rPr>
          <w:i/>
          <w:sz w:val="20"/>
          <w:szCs w:val="20"/>
        </w:rPr>
        <w:t xml:space="preserve">Источник: </w:t>
      </w:r>
      <w:proofErr w:type="spellStart"/>
      <w:r w:rsidRPr="00C732B0">
        <w:rPr>
          <w:i/>
          <w:sz w:val="20"/>
          <w:szCs w:val="20"/>
        </w:rPr>
        <w:t>Петростат</w:t>
      </w:r>
      <w:proofErr w:type="spellEnd"/>
    </w:p>
    <w:p w14:paraId="21922302" w14:textId="40EB1944" w:rsidR="002A4B2B" w:rsidRDefault="002A4B2B" w:rsidP="002A4B2B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структуре заемных средств традиционно преобладают средства бюджета, составившие </w:t>
      </w:r>
      <w:r w:rsidR="00AC794A">
        <w:rPr>
          <w:sz w:val="24"/>
          <w:szCs w:val="24"/>
        </w:rPr>
        <w:t>19,8</w:t>
      </w:r>
      <w:r>
        <w:rPr>
          <w:sz w:val="24"/>
          <w:szCs w:val="24"/>
        </w:rPr>
        <w:t>% в</w:t>
      </w:r>
      <w:r w:rsidR="00AC794A">
        <w:rPr>
          <w:sz w:val="24"/>
          <w:szCs w:val="24"/>
        </w:rPr>
        <w:t xml:space="preserve"> январе –</w:t>
      </w:r>
      <w:r w:rsidR="004E6A4A">
        <w:rPr>
          <w:sz w:val="24"/>
          <w:szCs w:val="24"/>
        </w:rPr>
        <w:t xml:space="preserve"> июне</w:t>
      </w:r>
      <w:r w:rsidR="00AC794A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</w:t>
      </w:r>
      <w:r w:rsidR="00AC794A">
        <w:rPr>
          <w:sz w:val="24"/>
          <w:szCs w:val="24"/>
        </w:rPr>
        <w:t>(+</w:t>
      </w:r>
      <w:r w:rsidR="004E6A4A">
        <w:rPr>
          <w:sz w:val="24"/>
          <w:szCs w:val="24"/>
        </w:rPr>
        <w:t>2,1</w:t>
      </w:r>
      <w:r w:rsidR="00AC794A">
        <w:rPr>
          <w:sz w:val="24"/>
          <w:szCs w:val="24"/>
        </w:rPr>
        <w:t xml:space="preserve"> </w:t>
      </w:r>
      <w:proofErr w:type="spellStart"/>
      <w:r w:rsidR="00AC794A">
        <w:rPr>
          <w:sz w:val="24"/>
          <w:szCs w:val="24"/>
        </w:rPr>
        <w:t>п.п</w:t>
      </w:r>
      <w:proofErr w:type="spellEnd"/>
      <w:r w:rsidR="00AC794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по отношению к </w:t>
      </w:r>
      <w:r w:rsidR="00AC794A">
        <w:rPr>
          <w:sz w:val="24"/>
          <w:szCs w:val="24"/>
        </w:rPr>
        <w:t xml:space="preserve">аналогичному периоду </w:t>
      </w:r>
      <w:r>
        <w:rPr>
          <w:sz w:val="24"/>
          <w:szCs w:val="24"/>
        </w:rPr>
        <w:t>202</w:t>
      </w:r>
      <w:r w:rsidR="00AC794A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 w:rsidR="00AC794A">
        <w:rPr>
          <w:sz w:val="24"/>
          <w:szCs w:val="24"/>
        </w:rPr>
        <w:t>а</w:t>
      </w:r>
      <w:r>
        <w:rPr>
          <w:sz w:val="24"/>
          <w:szCs w:val="24"/>
        </w:rPr>
        <w:t xml:space="preserve">). Доля кредитов банков снизилась на </w:t>
      </w:r>
      <w:r w:rsidR="004E6A4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в </w:t>
      </w:r>
      <w:r w:rsidR="004E6A4A">
        <w:rPr>
          <w:sz w:val="24"/>
          <w:szCs w:val="24"/>
        </w:rPr>
        <w:t>2</w:t>
      </w:r>
      <w:r w:rsidR="00AC794A">
        <w:rPr>
          <w:sz w:val="24"/>
          <w:szCs w:val="24"/>
        </w:rPr>
        <w:t>-м квартале 2024</w:t>
      </w:r>
      <w:r>
        <w:rPr>
          <w:sz w:val="24"/>
          <w:szCs w:val="24"/>
        </w:rPr>
        <w:t xml:space="preserve"> год</w:t>
      </w:r>
      <w:r w:rsidR="00AC794A">
        <w:rPr>
          <w:sz w:val="24"/>
          <w:szCs w:val="24"/>
        </w:rPr>
        <w:t>а</w:t>
      </w:r>
      <w:r>
        <w:rPr>
          <w:sz w:val="24"/>
          <w:szCs w:val="24"/>
        </w:rPr>
        <w:t xml:space="preserve">, выйдя на уровень </w:t>
      </w:r>
      <w:r w:rsidR="004E6A4A">
        <w:rPr>
          <w:sz w:val="24"/>
          <w:szCs w:val="24"/>
        </w:rPr>
        <w:t>9,3</w:t>
      </w:r>
      <w:r>
        <w:rPr>
          <w:sz w:val="24"/>
          <w:szCs w:val="24"/>
        </w:rPr>
        <w:t>%</w:t>
      </w:r>
      <w:r w:rsidRPr="002A4B2B">
        <w:rPr>
          <w:sz w:val="24"/>
          <w:szCs w:val="24"/>
        </w:rPr>
        <w:t xml:space="preserve"> </w:t>
      </w:r>
      <w:r>
        <w:rPr>
          <w:sz w:val="24"/>
          <w:szCs w:val="24"/>
        </w:rPr>
        <w:t>вследствие удорожания заемных средств на фоне повышения ключевой ставки Банком России.</w:t>
      </w:r>
    </w:p>
    <w:p w14:paraId="52D7D74E" w14:textId="1246CC2F" w:rsidR="006F5209" w:rsidRDefault="006F5209" w:rsidP="000D042E">
      <w:pPr>
        <w:spacing w:line="240" w:lineRule="auto"/>
        <w:ind w:firstLine="567"/>
        <w:jc w:val="both"/>
        <w:rPr>
          <w:sz w:val="24"/>
          <w:szCs w:val="24"/>
        </w:rPr>
      </w:pPr>
    </w:p>
    <w:p w14:paraId="1734E92A" w14:textId="63E1AB00" w:rsidR="000D042E" w:rsidRDefault="000D04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DAC48D" w14:textId="4A838EAA" w:rsidR="00B70F00" w:rsidRDefault="00B70F00" w:rsidP="00E24791">
      <w:pPr>
        <w:pStyle w:val="a7"/>
        <w:tabs>
          <w:tab w:val="left" w:pos="993"/>
        </w:tabs>
        <w:spacing w:line="240" w:lineRule="auto"/>
        <w:ind w:left="567"/>
        <w:contextualSpacing w:val="0"/>
        <w:jc w:val="both"/>
        <w:rPr>
          <w:b/>
          <w:sz w:val="24"/>
          <w:szCs w:val="24"/>
        </w:rPr>
      </w:pPr>
      <w:r w:rsidRPr="00C732B0">
        <w:rPr>
          <w:b/>
          <w:sz w:val="24"/>
          <w:szCs w:val="24"/>
        </w:rPr>
        <w:lastRenderedPageBreak/>
        <w:t xml:space="preserve">4. </w:t>
      </w:r>
      <w:r w:rsidRPr="00D33AA1">
        <w:rPr>
          <w:b/>
          <w:sz w:val="24"/>
          <w:szCs w:val="24"/>
        </w:rPr>
        <w:t>Видовая структура инвестиций в основной капитал</w:t>
      </w:r>
    </w:p>
    <w:p w14:paraId="3404F2F7" w14:textId="5558077F" w:rsidR="000D042E" w:rsidRPr="000D042E" w:rsidRDefault="000D042E" w:rsidP="000D042E">
      <w:pPr>
        <w:spacing w:before="240" w:after="0" w:line="240" w:lineRule="auto"/>
        <w:jc w:val="center"/>
        <w:rPr>
          <w:b/>
          <w:bCs/>
          <w:szCs w:val="24"/>
        </w:rPr>
      </w:pPr>
      <w:r w:rsidRPr="000D042E">
        <w:rPr>
          <w:b/>
          <w:bCs/>
          <w:szCs w:val="24"/>
        </w:rPr>
        <w:t>Рис. 5. Видовая структура инвестиций в основной капитал</w:t>
      </w:r>
      <w:r w:rsidR="00DC4DE7">
        <w:rPr>
          <w:b/>
          <w:bCs/>
          <w:szCs w:val="24"/>
        </w:rPr>
        <w:t xml:space="preserve"> в январе </w:t>
      </w:r>
      <w:r w:rsidR="004E6A4A">
        <w:rPr>
          <w:sz w:val="24"/>
          <w:szCs w:val="24"/>
        </w:rPr>
        <w:t>–</w:t>
      </w:r>
      <w:r w:rsidR="00DC4DE7">
        <w:rPr>
          <w:b/>
          <w:bCs/>
          <w:szCs w:val="24"/>
        </w:rPr>
        <w:t xml:space="preserve"> </w:t>
      </w:r>
      <w:r w:rsidR="0038790C">
        <w:rPr>
          <w:b/>
          <w:bCs/>
          <w:szCs w:val="24"/>
        </w:rPr>
        <w:t>июне</w:t>
      </w:r>
      <w:r w:rsidRPr="000D042E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%</w:t>
      </w:r>
    </w:p>
    <w:p w14:paraId="1729456B" w14:textId="48255CFA" w:rsidR="00B70F00" w:rsidRPr="00B34C0E" w:rsidRDefault="00312514" w:rsidP="00E24791">
      <w:pPr>
        <w:pStyle w:val="a7"/>
        <w:tabs>
          <w:tab w:val="left" w:pos="993"/>
        </w:tabs>
        <w:spacing w:before="240" w:line="240" w:lineRule="auto"/>
        <w:ind w:left="0"/>
        <w:contextualSpacing w:val="0"/>
        <w:jc w:val="center"/>
        <w:rPr>
          <w:b/>
          <w:sz w:val="24"/>
          <w:szCs w:val="24"/>
        </w:rPr>
      </w:pPr>
      <w:r w:rsidRPr="00D06B68">
        <w:rPr>
          <w:noProof/>
          <w:color w:val="007F7F" w:themeColor="background1" w:themeShade="40"/>
          <w:sz w:val="24"/>
          <w:szCs w:val="24"/>
          <w:lang w:eastAsia="ru-RU"/>
        </w:rPr>
        <w:drawing>
          <wp:inline distT="0" distB="0" distL="0" distR="0" wp14:anchorId="5C6CCF17" wp14:editId="45560294">
            <wp:extent cx="6480175" cy="19335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58D1C5" w14:textId="595247AB" w:rsidR="00B70F00" w:rsidRPr="00B1500C" w:rsidRDefault="00B70F00" w:rsidP="00E24791">
      <w:pPr>
        <w:spacing w:line="240" w:lineRule="auto"/>
        <w:jc w:val="center"/>
        <w:rPr>
          <w:i/>
          <w:sz w:val="20"/>
          <w:szCs w:val="20"/>
        </w:rPr>
      </w:pPr>
      <w:r w:rsidRPr="00DC30D8">
        <w:rPr>
          <w:i/>
          <w:sz w:val="20"/>
          <w:szCs w:val="20"/>
        </w:rPr>
        <w:t xml:space="preserve">Источник: </w:t>
      </w:r>
      <w:proofErr w:type="spellStart"/>
      <w:r w:rsidRPr="00DC30D8">
        <w:rPr>
          <w:i/>
          <w:sz w:val="20"/>
          <w:szCs w:val="20"/>
        </w:rPr>
        <w:t>Петростат</w:t>
      </w:r>
      <w:proofErr w:type="spellEnd"/>
    </w:p>
    <w:p w14:paraId="64918FB2" w14:textId="3F0C52D6" w:rsidR="009D18DC" w:rsidRPr="00C575EB" w:rsidRDefault="009D18DC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 w:rsidRPr="00C575EB">
        <w:rPr>
          <w:sz w:val="24"/>
          <w:szCs w:val="24"/>
        </w:rPr>
        <w:t>По итогам</w:t>
      </w:r>
      <w:r w:rsidR="00DC4DE7">
        <w:rPr>
          <w:sz w:val="24"/>
          <w:szCs w:val="24"/>
        </w:rPr>
        <w:t xml:space="preserve"> </w:t>
      </w:r>
      <w:r w:rsidR="00BB1FAC">
        <w:rPr>
          <w:sz w:val="24"/>
          <w:szCs w:val="24"/>
        </w:rPr>
        <w:t>2</w:t>
      </w:r>
      <w:r w:rsidR="00DC4DE7">
        <w:rPr>
          <w:sz w:val="24"/>
          <w:szCs w:val="24"/>
        </w:rPr>
        <w:t>-го квартала</w:t>
      </w:r>
      <w:r w:rsidR="00B1500C" w:rsidRPr="00C575EB">
        <w:rPr>
          <w:sz w:val="24"/>
          <w:szCs w:val="24"/>
        </w:rPr>
        <w:t xml:space="preserve"> </w:t>
      </w:r>
      <w:r w:rsidRPr="00C575EB">
        <w:rPr>
          <w:sz w:val="24"/>
          <w:szCs w:val="24"/>
        </w:rPr>
        <w:t>202</w:t>
      </w:r>
      <w:r w:rsidR="00DC4DE7">
        <w:rPr>
          <w:sz w:val="24"/>
          <w:szCs w:val="24"/>
        </w:rPr>
        <w:t>4</w:t>
      </w:r>
      <w:r w:rsidRPr="00C575EB">
        <w:rPr>
          <w:sz w:val="24"/>
          <w:szCs w:val="24"/>
        </w:rPr>
        <w:t xml:space="preserve"> года отмечены </w:t>
      </w:r>
      <w:r w:rsidR="00B1500C" w:rsidRPr="00C575EB">
        <w:rPr>
          <w:sz w:val="24"/>
          <w:szCs w:val="24"/>
        </w:rPr>
        <w:t xml:space="preserve">следующие </w:t>
      </w:r>
      <w:r w:rsidRPr="00C575EB">
        <w:rPr>
          <w:sz w:val="24"/>
          <w:szCs w:val="24"/>
        </w:rPr>
        <w:t>изменения в видовой структуре инвестиций по сравнению с аналогичным периодом 202</w:t>
      </w:r>
      <w:r w:rsidR="00DC4DE7">
        <w:rPr>
          <w:sz w:val="24"/>
          <w:szCs w:val="24"/>
        </w:rPr>
        <w:t>3</w:t>
      </w:r>
      <w:r w:rsidRPr="00C575EB">
        <w:rPr>
          <w:sz w:val="24"/>
          <w:szCs w:val="24"/>
        </w:rPr>
        <w:t xml:space="preserve"> года: </w:t>
      </w:r>
    </w:p>
    <w:p w14:paraId="0777EBD5" w14:textId="29B26EB4" w:rsidR="00161612" w:rsidRPr="00BB1FAC" w:rsidRDefault="00B1500C" w:rsidP="00E24791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C575EB">
        <w:rPr>
          <w:b/>
          <w:color w:val="28A028"/>
          <w:sz w:val="24"/>
        </w:rPr>
        <w:sym w:font="Symbol" w:char="F0AD"/>
      </w:r>
      <w:r w:rsidR="00161612" w:rsidRPr="00161612">
        <w:rPr>
          <w:sz w:val="24"/>
          <w:szCs w:val="24"/>
        </w:rPr>
        <w:t xml:space="preserve"> </w:t>
      </w:r>
      <w:r w:rsidR="00161612">
        <w:rPr>
          <w:sz w:val="24"/>
          <w:szCs w:val="24"/>
        </w:rPr>
        <w:t>увеличение</w:t>
      </w:r>
      <w:r w:rsidR="00161612" w:rsidRPr="00C575EB">
        <w:rPr>
          <w:sz w:val="24"/>
          <w:szCs w:val="24"/>
        </w:rPr>
        <w:t xml:space="preserve"> доли инвестиций в </w:t>
      </w:r>
      <w:r w:rsidR="00161612" w:rsidRPr="00C575EB">
        <w:rPr>
          <w:i/>
          <w:sz w:val="24"/>
          <w:szCs w:val="24"/>
        </w:rPr>
        <w:t>машины и оборудование</w:t>
      </w:r>
      <w:r w:rsidR="00161612" w:rsidRPr="00C575EB">
        <w:rPr>
          <w:sz w:val="24"/>
          <w:szCs w:val="24"/>
        </w:rPr>
        <w:t xml:space="preserve"> (53,</w:t>
      </w:r>
      <w:r w:rsidR="00161612">
        <w:rPr>
          <w:sz w:val="24"/>
          <w:szCs w:val="24"/>
        </w:rPr>
        <w:t>2</w:t>
      </w:r>
      <w:r w:rsidR="00161612" w:rsidRPr="00C575EB">
        <w:rPr>
          <w:sz w:val="24"/>
          <w:szCs w:val="24"/>
        </w:rPr>
        <w:t xml:space="preserve">% против </w:t>
      </w:r>
      <w:r w:rsidR="00161612">
        <w:rPr>
          <w:sz w:val="24"/>
          <w:szCs w:val="24"/>
        </w:rPr>
        <w:t>49,</w:t>
      </w:r>
      <w:r w:rsidR="00BB1FAC">
        <w:rPr>
          <w:sz w:val="24"/>
          <w:szCs w:val="24"/>
        </w:rPr>
        <w:t>7</w:t>
      </w:r>
      <w:r w:rsidR="00161612" w:rsidRPr="00C575EB">
        <w:rPr>
          <w:sz w:val="24"/>
          <w:szCs w:val="24"/>
        </w:rPr>
        <w:t>%);</w:t>
      </w:r>
      <w:r w:rsidR="002201AB" w:rsidRPr="00C575EB">
        <w:rPr>
          <w:sz w:val="24"/>
          <w:szCs w:val="24"/>
          <w:lang w:val="en-US"/>
        </w:rPr>
        <w:t> </w:t>
      </w:r>
    </w:p>
    <w:p w14:paraId="6B7B761F" w14:textId="7AC2122E" w:rsidR="00BB1FAC" w:rsidRPr="00C575EB" w:rsidRDefault="00BB1FAC" w:rsidP="00BB1FAC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C575EB">
        <w:rPr>
          <w:b/>
          <w:color w:val="28A028"/>
          <w:sz w:val="24"/>
        </w:rPr>
        <w:sym w:font="Symbol" w:char="F0AD"/>
      </w:r>
      <w:r w:rsidRPr="00C575EB">
        <w:rPr>
          <w:color w:val="C00000"/>
          <w:sz w:val="24"/>
        </w:rPr>
        <w:t xml:space="preserve"> </w:t>
      </w:r>
      <w:r>
        <w:rPr>
          <w:sz w:val="24"/>
          <w:szCs w:val="24"/>
        </w:rPr>
        <w:t>повышение</w:t>
      </w:r>
      <w:r w:rsidRPr="00C575EB">
        <w:rPr>
          <w:sz w:val="24"/>
          <w:szCs w:val="24"/>
        </w:rPr>
        <w:t xml:space="preserve"> доли инвестиций в </w:t>
      </w:r>
      <w:r w:rsidRPr="00C575EB">
        <w:rPr>
          <w:i/>
          <w:sz w:val="24"/>
          <w:szCs w:val="24"/>
        </w:rPr>
        <w:t>здания (кроме жилых), сооружения, расходы на улучшение земель</w:t>
      </w:r>
      <w:r w:rsidRPr="00C575EB">
        <w:rPr>
          <w:sz w:val="24"/>
          <w:szCs w:val="24"/>
        </w:rPr>
        <w:t xml:space="preserve"> (</w:t>
      </w:r>
      <w:r>
        <w:rPr>
          <w:sz w:val="24"/>
          <w:szCs w:val="24"/>
        </w:rPr>
        <w:t>29,2</w:t>
      </w:r>
      <w:r w:rsidRPr="00C575EB">
        <w:rPr>
          <w:sz w:val="24"/>
          <w:szCs w:val="24"/>
        </w:rPr>
        <w:t xml:space="preserve">% против </w:t>
      </w:r>
      <w:r>
        <w:rPr>
          <w:sz w:val="24"/>
          <w:szCs w:val="24"/>
        </w:rPr>
        <w:t>28,1</w:t>
      </w:r>
      <w:r w:rsidRPr="00C575EB">
        <w:rPr>
          <w:sz w:val="24"/>
          <w:szCs w:val="24"/>
        </w:rPr>
        <w:t>%);</w:t>
      </w:r>
    </w:p>
    <w:p w14:paraId="6B7D5BA2" w14:textId="16258306" w:rsidR="00700A07" w:rsidRPr="00C575EB" w:rsidRDefault="00B1500C" w:rsidP="00E24791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C575EB">
        <w:rPr>
          <w:b/>
          <w:color w:val="28A028"/>
          <w:sz w:val="24"/>
        </w:rPr>
        <w:sym w:font="Symbol" w:char="F0AD"/>
      </w:r>
      <w:r w:rsidR="002201AB" w:rsidRPr="00C575EB">
        <w:rPr>
          <w:color w:val="28A028"/>
          <w:sz w:val="24"/>
          <w:lang w:val="en-US"/>
        </w:rPr>
        <w:t> </w:t>
      </w:r>
      <w:r w:rsidR="00161612">
        <w:rPr>
          <w:sz w:val="24"/>
          <w:szCs w:val="24"/>
        </w:rPr>
        <w:t>рост</w:t>
      </w:r>
      <w:r w:rsidR="00700A07" w:rsidRPr="00C575EB">
        <w:rPr>
          <w:sz w:val="24"/>
          <w:szCs w:val="24"/>
        </w:rPr>
        <w:t xml:space="preserve"> доли инвестиций в </w:t>
      </w:r>
      <w:r w:rsidR="00700A07" w:rsidRPr="00C575EB">
        <w:rPr>
          <w:i/>
          <w:sz w:val="24"/>
          <w:szCs w:val="24"/>
        </w:rPr>
        <w:t>объекты интеллектуальной собственности</w:t>
      </w:r>
      <w:r w:rsidR="00700A07" w:rsidRPr="00C575EB">
        <w:rPr>
          <w:sz w:val="24"/>
          <w:szCs w:val="24"/>
        </w:rPr>
        <w:t xml:space="preserve"> (</w:t>
      </w:r>
      <w:r w:rsidR="00BB1FAC">
        <w:rPr>
          <w:sz w:val="24"/>
          <w:szCs w:val="24"/>
        </w:rPr>
        <w:t>8</w:t>
      </w:r>
      <w:r w:rsidR="00700A07" w:rsidRPr="00C575EB">
        <w:rPr>
          <w:sz w:val="24"/>
          <w:szCs w:val="24"/>
        </w:rPr>
        <w:t>%</w:t>
      </w:r>
      <w:r w:rsidRPr="00C575EB">
        <w:rPr>
          <w:sz w:val="24"/>
          <w:szCs w:val="24"/>
        </w:rPr>
        <w:t xml:space="preserve"> </w:t>
      </w:r>
      <w:r w:rsidR="00700A07" w:rsidRPr="00C575EB">
        <w:rPr>
          <w:sz w:val="24"/>
          <w:szCs w:val="24"/>
        </w:rPr>
        <w:t xml:space="preserve">против </w:t>
      </w:r>
      <w:r w:rsidR="00BB1FAC">
        <w:rPr>
          <w:sz w:val="24"/>
          <w:szCs w:val="24"/>
        </w:rPr>
        <w:t>7,5</w:t>
      </w:r>
      <w:r w:rsidR="00700A07" w:rsidRPr="00C575EB">
        <w:rPr>
          <w:sz w:val="24"/>
          <w:szCs w:val="24"/>
        </w:rPr>
        <w:t>%);</w:t>
      </w:r>
    </w:p>
    <w:p w14:paraId="3F42954D" w14:textId="61E6D3E6" w:rsidR="009D18DC" w:rsidRPr="00C575EB" w:rsidRDefault="00032C3F" w:rsidP="00E24791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C575EB">
        <w:rPr>
          <w:b/>
          <w:color w:val="C00000"/>
          <w:sz w:val="24"/>
        </w:rPr>
        <w:sym w:font="Symbol" w:char="F0AF"/>
      </w:r>
      <w:r w:rsidR="002201AB" w:rsidRPr="00C575EB">
        <w:rPr>
          <w:color w:val="C00000"/>
          <w:sz w:val="24"/>
          <w:lang w:val="en-US"/>
        </w:rPr>
        <w:t> </w:t>
      </w:r>
      <w:r w:rsidR="00700A07" w:rsidRPr="00C575EB">
        <w:rPr>
          <w:sz w:val="24"/>
          <w:szCs w:val="24"/>
        </w:rPr>
        <w:t>снижение</w:t>
      </w:r>
      <w:r w:rsidR="009D18DC" w:rsidRPr="00C575EB">
        <w:rPr>
          <w:sz w:val="24"/>
          <w:szCs w:val="24"/>
        </w:rPr>
        <w:t xml:space="preserve"> доли инвестиций в </w:t>
      </w:r>
      <w:r w:rsidR="007F61E2" w:rsidRPr="00C575EB">
        <w:rPr>
          <w:sz w:val="24"/>
          <w:szCs w:val="24"/>
        </w:rPr>
        <w:t xml:space="preserve">жилые </w:t>
      </w:r>
      <w:r w:rsidR="009D18DC" w:rsidRPr="00C575EB">
        <w:rPr>
          <w:i/>
          <w:sz w:val="24"/>
          <w:szCs w:val="24"/>
        </w:rPr>
        <w:t xml:space="preserve">здания </w:t>
      </w:r>
      <w:r w:rsidR="007F61E2" w:rsidRPr="00C575EB">
        <w:rPr>
          <w:i/>
          <w:sz w:val="24"/>
          <w:szCs w:val="24"/>
        </w:rPr>
        <w:t>и помещения</w:t>
      </w:r>
      <w:r w:rsidR="009D18DC" w:rsidRPr="00C575EB">
        <w:rPr>
          <w:sz w:val="24"/>
          <w:szCs w:val="24"/>
        </w:rPr>
        <w:t xml:space="preserve"> (</w:t>
      </w:r>
      <w:r w:rsidR="00BB1FAC">
        <w:rPr>
          <w:sz w:val="24"/>
          <w:szCs w:val="24"/>
        </w:rPr>
        <w:t>8%</w:t>
      </w:r>
      <w:r w:rsidR="009D18DC" w:rsidRPr="00C575EB">
        <w:rPr>
          <w:sz w:val="24"/>
          <w:szCs w:val="24"/>
        </w:rPr>
        <w:t xml:space="preserve"> против </w:t>
      </w:r>
      <w:r w:rsidR="00BB1FAC">
        <w:rPr>
          <w:sz w:val="24"/>
          <w:szCs w:val="24"/>
        </w:rPr>
        <w:t>12,9</w:t>
      </w:r>
      <w:r w:rsidR="009D18DC" w:rsidRPr="00C575EB">
        <w:rPr>
          <w:sz w:val="24"/>
          <w:szCs w:val="24"/>
        </w:rPr>
        <w:t>%</w:t>
      </w:r>
      <w:r w:rsidR="007F61E2" w:rsidRPr="00C575EB">
        <w:rPr>
          <w:sz w:val="24"/>
          <w:szCs w:val="24"/>
        </w:rPr>
        <w:t>);</w:t>
      </w:r>
    </w:p>
    <w:p w14:paraId="486AF2E6" w14:textId="346112B3" w:rsidR="007F61E2" w:rsidRPr="00C575EB" w:rsidRDefault="007F61E2" w:rsidP="007F61E2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C575EB">
        <w:rPr>
          <w:b/>
          <w:color w:val="C00000"/>
          <w:sz w:val="24"/>
        </w:rPr>
        <w:sym w:font="Symbol" w:char="F0AF"/>
      </w:r>
      <w:r w:rsidRPr="00C575EB">
        <w:rPr>
          <w:color w:val="C00000"/>
          <w:sz w:val="24"/>
        </w:rPr>
        <w:t xml:space="preserve"> </w:t>
      </w:r>
      <w:r w:rsidR="002D7A02">
        <w:rPr>
          <w:sz w:val="24"/>
          <w:szCs w:val="24"/>
        </w:rPr>
        <w:t>падение</w:t>
      </w:r>
      <w:r w:rsidRPr="00C575EB">
        <w:rPr>
          <w:sz w:val="24"/>
          <w:szCs w:val="24"/>
        </w:rPr>
        <w:t xml:space="preserve"> доли </w:t>
      </w:r>
      <w:r w:rsidRPr="00C575EB">
        <w:rPr>
          <w:i/>
          <w:sz w:val="24"/>
          <w:szCs w:val="24"/>
        </w:rPr>
        <w:t>прочих инвестиций</w:t>
      </w:r>
      <w:r w:rsidRPr="00C575EB">
        <w:rPr>
          <w:sz w:val="24"/>
          <w:szCs w:val="24"/>
        </w:rPr>
        <w:t xml:space="preserve"> (1,</w:t>
      </w:r>
      <w:r w:rsidR="00BB1FAC">
        <w:rPr>
          <w:sz w:val="24"/>
          <w:szCs w:val="24"/>
        </w:rPr>
        <w:t>6</w:t>
      </w:r>
      <w:r w:rsidRPr="00C575EB">
        <w:rPr>
          <w:sz w:val="24"/>
          <w:szCs w:val="24"/>
        </w:rPr>
        <w:t xml:space="preserve">% против </w:t>
      </w:r>
      <w:r w:rsidR="00161612">
        <w:rPr>
          <w:sz w:val="24"/>
          <w:szCs w:val="24"/>
        </w:rPr>
        <w:t>1,</w:t>
      </w:r>
      <w:r w:rsidR="00BB1FAC">
        <w:rPr>
          <w:sz w:val="24"/>
          <w:szCs w:val="24"/>
        </w:rPr>
        <w:t>8</w:t>
      </w:r>
      <w:r w:rsidRPr="00C575EB">
        <w:rPr>
          <w:sz w:val="24"/>
          <w:szCs w:val="24"/>
        </w:rPr>
        <w:t>%).</w:t>
      </w:r>
    </w:p>
    <w:p w14:paraId="321ED9AD" w14:textId="77777777" w:rsidR="009D18DC" w:rsidRPr="002929A2" w:rsidRDefault="009D18DC" w:rsidP="00E24791">
      <w:pPr>
        <w:spacing w:after="0" w:line="240" w:lineRule="auto"/>
        <w:rPr>
          <w:i/>
          <w:sz w:val="16"/>
          <w:szCs w:val="16"/>
        </w:rPr>
      </w:pPr>
    </w:p>
    <w:p w14:paraId="281C7AFA" w14:textId="12399000" w:rsidR="00B50BE7" w:rsidRPr="00BC52D1" w:rsidRDefault="00B70F00" w:rsidP="00E24791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EF6602">
        <w:rPr>
          <w:b/>
          <w:sz w:val="24"/>
          <w:szCs w:val="24"/>
        </w:rPr>
        <w:t>5. Сравнение с регионами</w:t>
      </w:r>
      <w:r w:rsidR="00B50BE7" w:rsidRPr="00B50BE7">
        <w:rPr>
          <w:b/>
          <w:sz w:val="24"/>
          <w:szCs w:val="24"/>
        </w:rPr>
        <w:t>-</w:t>
      </w:r>
      <w:r w:rsidRPr="00EF6602">
        <w:rPr>
          <w:b/>
          <w:sz w:val="24"/>
          <w:szCs w:val="24"/>
        </w:rPr>
        <w:t>«лидерами»</w:t>
      </w:r>
      <w:r w:rsidR="00032C3F" w:rsidRPr="00EF6602">
        <w:rPr>
          <w:b/>
          <w:sz w:val="24"/>
          <w:szCs w:val="24"/>
        </w:rPr>
        <w:t xml:space="preserve"> </w:t>
      </w:r>
      <w:r w:rsidR="00491F12" w:rsidRPr="00EF6602">
        <w:rPr>
          <w:b/>
          <w:sz w:val="24"/>
          <w:szCs w:val="24"/>
        </w:rPr>
        <w:t xml:space="preserve">в </w:t>
      </w:r>
      <w:r w:rsidR="00BB1FAC">
        <w:rPr>
          <w:b/>
          <w:sz w:val="24"/>
          <w:szCs w:val="24"/>
        </w:rPr>
        <w:t>2</w:t>
      </w:r>
      <w:r w:rsidR="00161612">
        <w:rPr>
          <w:b/>
          <w:sz w:val="24"/>
          <w:szCs w:val="24"/>
        </w:rPr>
        <w:t>-м квартале 2024 года</w:t>
      </w:r>
    </w:p>
    <w:tbl>
      <w:tblPr>
        <w:tblStyle w:val="a8"/>
        <w:tblW w:w="9570" w:type="dxa"/>
        <w:jc w:val="center"/>
        <w:tblBorders>
          <w:top w:val="single" w:sz="4" w:space="0" w:color="384594" w:themeColor="accent5" w:themeShade="BF"/>
          <w:left w:val="single" w:sz="4" w:space="0" w:color="384594" w:themeColor="accent5" w:themeShade="BF"/>
          <w:bottom w:val="single" w:sz="4" w:space="0" w:color="384594" w:themeColor="accent5" w:themeShade="BF"/>
          <w:right w:val="single" w:sz="4" w:space="0" w:color="384594" w:themeColor="accent5" w:themeShade="BF"/>
          <w:insideH w:val="single" w:sz="4" w:space="0" w:color="384594" w:themeColor="accent5" w:themeShade="BF"/>
          <w:insideV w:val="single" w:sz="4" w:space="0" w:color="384594" w:themeColor="accent5" w:themeShade="BF"/>
        </w:tblBorders>
        <w:tblLook w:val="04A0" w:firstRow="1" w:lastRow="0" w:firstColumn="1" w:lastColumn="0" w:noHBand="0" w:noVBand="1"/>
      </w:tblPr>
      <w:tblGrid>
        <w:gridCol w:w="4111"/>
        <w:gridCol w:w="1980"/>
        <w:gridCol w:w="1984"/>
        <w:gridCol w:w="1495"/>
      </w:tblGrid>
      <w:tr w:rsidR="00B70F00" w:rsidRPr="00D60B06" w14:paraId="092F3830" w14:textId="77777777" w:rsidTr="00EF6602">
        <w:trPr>
          <w:trHeight w:val="1206"/>
          <w:tblHeader/>
          <w:jc w:val="center"/>
        </w:trPr>
        <w:tc>
          <w:tcPr>
            <w:tcW w:w="4111" w:type="dxa"/>
            <w:shd w:val="clear" w:color="auto" w:fill="ECECEC"/>
            <w:vAlign w:val="center"/>
            <w:hideMark/>
          </w:tcPr>
          <w:p w14:paraId="0BB4572D" w14:textId="77777777" w:rsidR="00B70F00" w:rsidRPr="00A41529" w:rsidRDefault="00B70F00" w:rsidP="00E2479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980" w:type="dxa"/>
            <w:shd w:val="clear" w:color="auto" w:fill="ECECEC"/>
            <w:noWrap/>
            <w:vAlign w:val="center"/>
            <w:hideMark/>
          </w:tcPr>
          <w:p w14:paraId="58F8E34E" w14:textId="77777777" w:rsidR="002929A2" w:rsidRDefault="002929A2" w:rsidP="00E2479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B70F00"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бъем </w:t>
            </w:r>
            <w:r w:rsidR="00B70F0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инвестиций в основной капитал</w:t>
            </w:r>
            <w:r w:rsidR="00B70F00"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0810E79" w14:textId="14D3A36B" w:rsidR="00B70F00" w:rsidRPr="00A41529" w:rsidRDefault="00B70F00" w:rsidP="00EB31D9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(мл</w:t>
            </w:r>
            <w:r w:rsidR="00EB31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рд</w:t>
            </w:r>
            <w:r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руб.)</w:t>
            </w:r>
          </w:p>
        </w:tc>
        <w:tc>
          <w:tcPr>
            <w:tcW w:w="1984" w:type="dxa"/>
            <w:shd w:val="clear" w:color="auto" w:fill="ECECEC"/>
            <w:vAlign w:val="center"/>
            <w:hideMark/>
          </w:tcPr>
          <w:p w14:paraId="1215097B" w14:textId="3A28C206" w:rsidR="00B70F00" w:rsidRPr="00A41529" w:rsidRDefault="00DD673B" w:rsidP="00E2479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ИФО</w:t>
            </w:r>
          </w:p>
        </w:tc>
        <w:tc>
          <w:tcPr>
            <w:tcW w:w="1495" w:type="dxa"/>
            <w:shd w:val="clear" w:color="auto" w:fill="ECECEC"/>
            <w:noWrap/>
            <w:vAlign w:val="center"/>
            <w:hideMark/>
          </w:tcPr>
          <w:p w14:paraId="4C197F23" w14:textId="3F1F76DA" w:rsidR="00B70F00" w:rsidRPr="00A41529" w:rsidRDefault="00B70F00" w:rsidP="00E2479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Место 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B50B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B70F00" w:rsidRPr="00D60B06" w14:paraId="5C5C9CAD" w14:textId="77777777" w:rsidTr="00EF6602">
        <w:trPr>
          <w:trHeight w:val="454"/>
          <w:jc w:val="center"/>
        </w:trPr>
        <w:tc>
          <w:tcPr>
            <w:tcW w:w="4111" w:type="dxa"/>
            <w:vAlign w:val="center"/>
            <w:hideMark/>
          </w:tcPr>
          <w:p w14:paraId="738B2E13" w14:textId="77777777" w:rsidR="00B70F00" w:rsidRPr="00A41529" w:rsidRDefault="00B70F00" w:rsidP="00E247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14:paraId="3D738849" w14:textId="1F385AC4" w:rsidR="00B70F00" w:rsidRPr="00161612" w:rsidRDefault="00BB1FAC" w:rsidP="00EB31D9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2 672,2</w:t>
            </w:r>
          </w:p>
        </w:tc>
        <w:tc>
          <w:tcPr>
            <w:tcW w:w="1984" w:type="dxa"/>
            <w:noWrap/>
            <w:vAlign w:val="center"/>
            <w:hideMark/>
          </w:tcPr>
          <w:p w14:paraId="14403C41" w14:textId="47C0BC51" w:rsidR="00B70F00" w:rsidRPr="00A41529" w:rsidRDefault="00161612" w:rsidP="00B44E27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44E27">
              <w:rPr>
                <w:rFonts w:eastAsia="Times New Roman" w:cs="Times New Roman"/>
                <w:sz w:val="24"/>
                <w:szCs w:val="24"/>
                <w:lang w:eastAsia="ru-RU"/>
              </w:rPr>
              <w:t>08,4</w:t>
            </w:r>
            <w:r w:rsidR="00B70F00"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4620F4"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  <w:hideMark/>
          </w:tcPr>
          <w:p w14:paraId="7F543405" w14:textId="77777777" w:rsidR="00B70F00" w:rsidRPr="00A41529" w:rsidRDefault="00B70F00" w:rsidP="00E2479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B31D9" w:rsidRPr="00D60B06" w14:paraId="33209396" w14:textId="77777777" w:rsidTr="00EF6602">
        <w:trPr>
          <w:trHeight w:val="454"/>
          <w:jc w:val="center"/>
        </w:trPr>
        <w:tc>
          <w:tcPr>
            <w:tcW w:w="4111" w:type="dxa"/>
            <w:vAlign w:val="center"/>
          </w:tcPr>
          <w:p w14:paraId="54EA0CB0" w14:textId="74E42A37" w:rsidR="00EB31D9" w:rsidRPr="00A41529" w:rsidRDefault="00EB31D9" w:rsidP="00EB31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980" w:type="dxa"/>
            <w:noWrap/>
            <w:vAlign w:val="center"/>
          </w:tcPr>
          <w:p w14:paraId="31F5A8A9" w14:textId="26245DC4" w:rsidR="00EB31D9" w:rsidRPr="00161612" w:rsidRDefault="00B44E27" w:rsidP="00EB31D9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799,5</w:t>
            </w:r>
          </w:p>
        </w:tc>
        <w:tc>
          <w:tcPr>
            <w:tcW w:w="1984" w:type="dxa"/>
            <w:noWrap/>
            <w:vAlign w:val="center"/>
          </w:tcPr>
          <w:p w14:paraId="38542460" w14:textId="73D0BA8E" w:rsidR="00EB31D9" w:rsidRPr="00A41529" w:rsidRDefault="00B44E27" w:rsidP="0016161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107,0</w:t>
            </w:r>
            <w:r w:rsidR="00EB31D9"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EB31D9"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</w:tcPr>
          <w:p w14:paraId="0F044D92" w14:textId="3626AB3C" w:rsidR="00EB31D9" w:rsidRPr="00A41529" w:rsidRDefault="00161612" w:rsidP="00EB31D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B31D9" w:rsidRPr="00D60B06" w14:paraId="367F13A1" w14:textId="77777777" w:rsidTr="00EF6602">
        <w:trPr>
          <w:trHeight w:val="454"/>
          <w:jc w:val="center"/>
        </w:trPr>
        <w:tc>
          <w:tcPr>
            <w:tcW w:w="4111" w:type="dxa"/>
            <w:vAlign w:val="center"/>
            <w:hideMark/>
          </w:tcPr>
          <w:p w14:paraId="03CAA827" w14:textId="147D8ABE" w:rsidR="00EB31D9" w:rsidRPr="00307660" w:rsidRDefault="00EB31D9" w:rsidP="00EB31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980" w:type="dxa"/>
            <w:noWrap/>
            <w:vAlign w:val="center"/>
            <w:hideMark/>
          </w:tcPr>
          <w:p w14:paraId="10A19EA9" w14:textId="34DE7F67" w:rsidR="00EB31D9" w:rsidRPr="00161612" w:rsidRDefault="00B44E27" w:rsidP="00EB31D9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744,8</w:t>
            </w:r>
          </w:p>
        </w:tc>
        <w:tc>
          <w:tcPr>
            <w:tcW w:w="1984" w:type="dxa"/>
            <w:noWrap/>
            <w:vAlign w:val="center"/>
            <w:hideMark/>
          </w:tcPr>
          <w:p w14:paraId="23507F9B" w14:textId="344D27CF" w:rsidR="00EB31D9" w:rsidRPr="00A41529" w:rsidRDefault="00161612" w:rsidP="00B44E27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44E27">
              <w:rPr>
                <w:rFonts w:eastAsia="Times New Roman" w:cs="Times New Roman"/>
                <w:sz w:val="24"/>
                <w:szCs w:val="24"/>
                <w:lang w:eastAsia="ru-RU"/>
              </w:rPr>
              <w:t>24,5</w:t>
            </w:r>
            <w:r w:rsidR="00EB31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  <w:hideMark/>
          </w:tcPr>
          <w:p w14:paraId="623C185A" w14:textId="5B73D53E" w:rsidR="00EB31D9" w:rsidRPr="00A41529" w:rsidRDefault="00161612" w:rsidP="00EB31D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61612" w:rsidRPr="00D60B06" w14:paraId="78CD9425" w14:textId="77777777" w:rsidTr="00EF6602">
        <w:trPr>
          <w:trHeight w:val="454"/>
          <w:jc w:val="center"/>
        </w:trPr>
        <w:tc>
          <w:tcPr>
            <w:tcW w:w="4111" w:type="dxa"/>
            <w:vAlign w:val="center"/>
          </w:tcPr>
          <w:p w14:paraId="5E6A6E1D" w14:textId="2A366590" w:rsidR="00161612" w:rsidRDefault="00161612" w:rsidP="0016161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7660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</w:tcPr>
          <w:p w14:paraId="340F4573" w14:textId="50E6B222" w:rsidR="00161612" w:rsidRPr="00161612" w:rsidRDefault="00B44E27" w:rsidP="0016161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984" w:type="dxa"/>
            <w:noWrap/>
            <w:vAlign w:val="center"/>
          </w:tcPr>
          <w:p w14:paraId="48E80A5E" w14:textId="1985D531" w:rsidR="00161612" w:rsidRDefault="00161612" w:rsidP="00B44E27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02,</w:t>
            </w:r>
            <w:r w:rsidR="00B44E2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</w:tcPr>
          <w:p w14:paraId="08E29DD4" w14:textId="0D4E2417" w:rsidR="00161612" w:rsidRPr="00A41529" w:rsidRDefault="00161612" w:rsidP="0016161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61612" w:rsidRPr="00D60B06" w14:paraId="04F0CB8E" w14:textId="77777777" w:rsidTr="00EF6602">
        <w:trPr>
          <w:trHeight w:val="454"/>
          <w:jc w:val="center"/>
        </w:trPr>
        <w:tc>
          <w:tcPr>
            <w:tcW w:w="4111" w:type="dxa"/>
            <w:shd w:val="clear" w:color="auto" w:fill="E8CCF2" w:themeFill="accent3" w:themeFillTint="66"/>
            <w:vAlign w:val="center"/>
            <w:hideMark/>
          </w:tcPr>
          <w:p w14:paraId="4420E6A6" w14:textId="77777777" w:rsidR="00161612" w:rsidRPr="00AD5E28" w:rsidRDefault="00161612" w:rsidP="00161612">
            <w:pPr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</w:pPr>
            <w:r w:rsidRPr="00AD5E28"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1980" w:type="dxa"/>
            <w:shd w:val="clear" w:color="auto" w:fill="E8CCF2" w:themeFill="accent3" w:themeFillTint="66"/>
            <w:noWrap/>
            <w:vAlign w:val="center"/>
            <w:hideMark/>
          </w:tcPr>
          <w:p w14:paraId="3D3D3C01" w14:textId="0133B990" w:rsidR="00161612" w:rsidRPr="00161612" w:rsidRDefault="00B44E27" w:rsidP="0016161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579,9</w:t>
            </w:r>
          </w:p>
        </w:tc>
        <w:tc>
          <w:tcPr>
            <w:tcW w:w="1984" w:type="dxa"/>
            <w:shd w:val="clear" w:color="auto" w:fill="E8CCF2" w:themeFill="accent3" w:themeFillTint="66"/>
            <w:noWrap/>
            <w:vAlign w:val="center"/>
            <w:hideMark/>
          </w:tcPr>
          <w:p w14:paraId="7133DA10" w14:textId="2F1A28AC" w:rsidR="00161612" w:rsidRPr="00A41529" w:rsidRDefault="00161612" w:rsidP="00B44E27">
            <w:pPr>
              <w:jc w:val="right"/>
              <w:rPr>
                <w:rFonts w:eastAsia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>1</w:t>
            </w:r>
            <w:r w:rsidR="002A03D5"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>26,</w:t>
            </w:r>
            <w:r w:rsidR="00B44E27"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>%</w:t>
            </w:r>
            <w:r w:rsidRPr="00AD5E28"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 xml:space="preserve"> 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shd w:val="clear" w:color="auto" w:fill="E8CCF2" w:themeFill="accent3" w:themeFillTint="66"/>
            <w:noWrap/>
            <w:vAlign w:val="center"/>
            <w:hideMark/>
          </w:tcPr>
          <w:p w14:paraId="6D4180A2" w14:textId="7700F749" w:rsidR="00161612" w:rsidRPr="00A41529" w:rsidRDefault="00161612" w:rsidP="00161612">
            <w:pPr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292748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161612" w:rsidRPr="00D60B06" w14:paraId="1A8F0AB9" w14:textId="77777777" w:rsidTr="00EF6602">
        <w:trPr>
          <w:trHeight w:val="398"/>
          <w:jc w:val="center"/>
        </w:trPr>
        <w:tc>
          <w:tcPr>
            <w:tcW w:w="4111" w:type="dxa"/>
            <w:vAlign w:val="center"/>
          </w:tcPr>
          <w:p w14:paraId="24BDAE13" w14:textId="7C32D176" w:rsidR="00161612" w:rsidRPr="004620F4" w:rsidRDefault="00161612" w:rsidP="00161612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96F4E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</w:tcPr>
          <w:p w14:paraId="1BCBDE2E" w14:textId="66604EB0" w:rsidR="00161612" w:rsidRPr="00453C24" w:rsidRDefault="00B44E27" w:rsidP="0016161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521,5</w:t>
            </w:r>
          </w:p>
        </w:tc>
        <w:tc>
          <w:tcPr>
            <w:tcW w:w="1984" w:type="dxa"/>
            <w:noWrap/>
            <w:vAlign w:val="center"/>
          </w:tcPr>
          <w:p w14:paraId="771744ED" w14:textId="200D55D6" w:rsidR="00161612" w:rsidRDefault="00161612" w:rsidP="00B44E27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44E27">
              <w:rPr>
                <w:rFonts w:eastAsia="Times New Roman" w:cs="Times New Roman"/>
                <w:sz w:val="24"/>
                <w:szCs w:val="24"/>
                <w:lang w:eastAsia="ru-RU"/>
              </w:rPr>
              <w:t>24,3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% 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</w:tcPr>
          <w:p w14:paraId="52BC3D78" w14:textId="6DC8DED9" w:rsidR="00161612" w:rsidRDefault="00161612" w:rsidP="00161612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292748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61612" w:rsidRPr="00D60B06" w14:paraId="64D24C50" w14:textId="77777777" w:rsidTr="00EF6602">
        <w:trPr>
          <w:trHeight w:val="70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7C9B24C9" w14:textId="7619251E" w:rsidR="00161612" w:rsidRPr="00A41529" w:rsidRDefault="00161612" w:rsidP="00161612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6DF1B18" w14:textId="7313278D" w:rsidR="00161612" w:rsidRPr="00A41529" w:rsidRDefault="00161612" w:rsidP="0016161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81F4D19" w14:textId="4D9F4B28" w:rsidR="00161612" w:rsidRPr="00A41529" w:rsidRDefault="00161612" w:rsidP="0016161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03DD88B5" w14:textId="51693EE9" w:rsidR="00161612" w:rsidRPr="00A41529" w:rsidRDefault="00161612" w:rsidP="00161612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61612" w:rsidRPr="00D60B06" w14:paraId="3DF01F2F" w14:textId="77777777" w:rsidTr="00EF6602">
        <w:trPr>
          <w:trHeight w:val="454"/>
          <w:jc w:val="center"/>
        </w:trPr>
        <w:tc>
          <w:tcPr>
            <w:tcW w:w="4111" w:type="dxa"/>
            <w:vAlign w:val="center"/>
          </w:tcPr>
          <w:p w14:paraId="72C67A9E" w14:textId="77777777" w:rsidR="00161612" w:rsidRPr="006956FC" w:rsidRDefault="00161612" w:rsidP="0016161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6FC">
              <w:rPr>
                <w:rFonts w:eastAsia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</w:tcPr>
          <w:p w14:paraId="435AEC45" w14:textId="04B2BCCD" w:rsidR="00161612" w:rsidRPr="00A41529" w:rsidRDefault="00B44E27" w:rsidP="0016161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1984" w:type="dxa"/>
            <w:noWrap/>
            <w:vAlign w:val="center"/>
          </w:tcPr>
          <w:p w14:paraId="1226EA10" w14:textId="5377EA46" w:rsidR="00161612" w:rsidRPr="00A41529" w:rsidRDefault="00161612" w:rsidP="00B44E27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44E27">
              <w:rPr>
                <w:rFonts w:eastAsia="Times New Roman" w:cs="Times New Roman"/>
                <w:sz w:val="24"/>
                <w:szCs w:val="24"/>
                <w:lang w:eastAsia="ru-RU"/>
              </w:rPr>
              <w:t>36,1</w:t>
            </w: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</w:tcPr>
          <w:p w14:paraId="79EE16DD" w14:textId="437F6C34" w:rsidR="00161612" w:rsidRPr="006956FC" w:rsidRDefault="00B44E27" w:rsidP="0016161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14:paraId="6C36EAD6" w14:textId="77777777" w:rsidR="004D6DEE" w:rsidRPr="00AF4F83" w:rsidRDefault="004D6DEE" w:rsidP="00E24791">
      <w:pPr>
        <w:spacing w:after="0" w:line="240" w:lineRule="auto"/>
        <w:ind w:firstLine="567"/>
        <w:jc w:val="center"/>
        <w:rPr>
          <w:i/>
          <w:sz w:val="20"/>
          <w:szCs w:val="20"/>
          <w:lang w:val="en-US"/>
        </w:rPr>
      </w:pPr>
    </w:p>
    <w:p w14:paraId="2F1350BF" w14:textId="3132280B" w:rsidR="004D6DEE" w:rsidRDefault="004D6DEE" w:rsidP="00E2479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DC30D8">
        <w:rPr>
          <w:i/>
          <w:sz w:val="20"/>
          <w:szCs w:val="20"/>
        </w:rPr>
        <w:t xml:space="preserve">Источник: </w:t>
      </w:r>
      <w:r>
        <w:rPr>
          <w:i/>
          <w:sz w:val="20"/>
          <w:szCs w:val="20"/>
        </w:rPr>
        <w:t>Росстат</w:t>
      </w:r>
    </w:p>
    <w:p w14:paraId="4E5F1840" w14:textId="77777777" w:rsidR="004D6DEE" w:rsidRDefault="004D6DEE" w:rsidP="00E24791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D5510CA" w14:textId="4CCF4473" w:rsidR="00331363" w:rsidRDefault="00EB6D58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 w:rsidRPr="006C53B1">
        <w:rPr>
          <w:sz w:val="24"/>
          <w:szCs w:val="24"/>
        </w:rPr>
        <w:t>Санкт-</w:t>
      </w:r>
      <w:r w:rsidR="0082130D">
        <w:rPr>
          <w:sz w:val="24"/>
          <w:szCs w:val="24"/>
        </w:rPr>
        <w:t>Петербург занял</w:t>
      </w:r>
      <w:r w:rsidR="00DD673B">
        <w:rPr>
          <w:sz w:val="24"/>
          <w:szCs w:val="24"/>
        </w:rPr>
        <w:t xml:space="preserve"> 5</w:t>
      </w:r>
      <w:r w:rsidR="0082130D">
        <w:rPr>
          <w:sz w:val="24"/>
          <w:szCs w:val="24"/>
        </w:rPr>
        <w:t>-</w:t>
      </w:r>
      <w:r w:rsidR="001C4F8A">
        <w:rPr>
          <w:sz w:val="24"/>
          <w:szCs w:val="24"/>
        </w:rPr>
        <w:t>е</w:t>
      </w:r>
      <w:r>
        <w:rPr>
          <w:sz w:val="24"/>
          <w:szCs w:val="24"/>
        </w:rPr>
        <w:t xml:space="preserve"> место среди </w:t>
      </w:r>
      <w:r w:rsidR="00CF7A24"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Росси</w:t>
      </w:r>
      <w:r w:rsidR="00CF7A24">
        <w:rPr>
          <w:sz w:val="24"/>
          <w:szCs w:val="24"/>
        </w:rPr>
        <w:t>йской Федерации</w:t>
      </w:r>
      <w:r>
        <w:rPr>
          <w:sz w:val="24"/>
          <w:szCs w:val="24"/>
        </w:rPr>
        <w:t xml:space="preserve"> по объему инвестиций в основной капитал</w:t>
      </w:r>
      <w:r w:rsidR="00A12747" w:rsidRPr="00A12747">
        <w:rPr>
          <w:sz w:val="24"/>
          <w:szCs w:val="24"/>
        </w:rPr>
        <w:t xml:space="preserve"> </w:t>
      </w:r>
      <w:r w:rsidR="00A12747">
        <w:rPr>
          <w:sz w:val="24"/>
          <w:szCs w:val="24"/>
        </w:rPr>
        <w:t xml:space="preserve">по итогам </w:t>
      </w:r>
      <w:r w:rsidR="004D6EBA">
        <w:rPr>
          <w:sz w:val="24"/>
          <w:szCs w:val="24"/>
        </w:rPr>
        <w:t xml:space="preserve">января – </w:t>
      </w:r>
      <w:r w:rsidR="00B44E27">
        <w:rPr>
          <w:sz w:val="24"/>
          <w:szCs w:val="24"/>
        </w:rPr>
        <w:t>июн</w:t>
      </w:r>
      <w:r w:rsidR="00172144">
        <w:rPr>
          <w:sz w:val="24"/>
          <w:szCs w:val="24"/>
        </w:rPr>
        <w:t>я</w:t>
      </w:r>
      <w:r w:rsidR="004D6EBA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4D6EBA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="007535A7">
        <w:rPr>
          <w:sz w:val="24"/>
          <w:szCs w:val="24"/>
        </w:rPr>
        <w:t>. В предыдуще</w:t>
      </w:r>
      <w:r w:rsidR="00DD673B">
        <w:rPr>
          <w:sz w:val="24"/>
          <w:szCs w:val="24"/>
        </w:rPr>
        <w:t>м</w:t>
      </w:r>
      <w:r w:rsidR="007535A7">
        <w:rPr>
          <w:sz w:val="24"/>
          <w:szCs w:val="24"/>
        </w:rPr>
        <w:t xml:space="preserve"> год</w:t>
      </w:r>
      <w:r w:rsidR="00DD673B">
        <w:rPr>
          <w:sz w:val="24"/>
          <w:szCs w:val="24"/>
        </w:rPr>
        <w:t>у</w:t>
      </w:r>
      <w:r w:rsidR="007535A7">
        <w:rPr>
          <w:sz w:val="24"/>
          <w:szCs w:val="24"/>
        </w:rPr>
        <w:t xml:space="preserve"> Санкт</w:t>
      </w:r>
      <w:r w:rsidR="007535A7">
        <w:rPr>
          <w:sz w:val="24"/>
          <w:szCs w:val="24"/>
        </w:rPr>
        <w:noBreakHyphen/>
        <w:t xml:space="preserve">Петербург занимал аналогичную позицию. </w:t>
      </w:r>
      <w:r w:rsidR="00524A2A">
        <w:rPr>
          <w:sz w:val="24"/>
          <w:szCs w:val="24"/>
        </w:rPr>
        <w:t xml:space="preserve">Большие объемы инвестиций наблюдались только в Москве и Московской области, а также </w:t>
      </w:r>
      <w:r w:rsidR="00C575EB">
        <w:rPr>
          <w:sz w:val="24"/>
          <w:szCs w:val="24"/>
        </w:rPr>
        <w:t xml:space="preserve">в </w:t>
      </w:r>
      <w:r w:rsidR="00524A2A">
        <w:rPr>
          <w:sz w:val="24"/>
          <w:szCs w:val="24"/>
        </w:rPr>
        <w:t>основны</w:t>
      </w:r>
      <w:r w:rsidR="00C575EB">
        <w:rPr>
          <w:sz w:val="24"/>
          <w:szCs w:val="24"/>
        </w:rPr>
        <w:t>х</w:t>
      </w:r>
      <w:r w:rsidR="00524A2A">
        <w:rPr>
          <w:sz w:val="24"/>
          <w:szCs w:val="24"/>
        </w:rPr>
        <w:t xml:space="preserve"> </w:t>
      </w:r>
      <w:proofErr w:type="spellStart"/>
      <w:r w:rsidR="00524A2A">
        <w:rPr>
          <w:sz w:val="24"/>
          <w:szCs w:val="24"/>
        </w:rPr>
        <w:t>ресурсодобывающи</w:t>
      </w:r>
      <w:r w:rsidR="00C575EB">
        <w:rPr>
          <w:sz w:val="24"/>
          <w:szCs w:val="24"/>
        </w:rPr>
        <w:t>х</w:t>
      </w:r>
      <w:proofErr w:type="spellEnd"/>
      <w:r w:rsidR="00524A2A">
        <w:rPr>
          <w:sz w:val="24"/>
          <w:szCs w:val="24"/>
        </w:rPr>
        <w:t xml:space="preserve"> региона</w:t>
      </w:r>
      <w:r w:rsidR="00C575EB">
        <w:rPr>
          <w:sz w:val="24"/>
          <w:szCs w:val="24"/>
        </w:rPr>
        <w:t>х</w:t>
      </w:r>
      <w:r w:rsidR="00B44E27">
        <w:rPr>
          <w:sz w:val="24"/>
          <w:szCs w:val="24"/>
        </w:rPr>
        <w:t xml:space="preserve"> России – Ханты-Мансийском</w:t>
      </w:r>
      <w:r w:rsidR="00524A2A">
        <w:rPr>
          <w:sz w:val="24"/>
          <w:szCs w:val="24"/>
        </w:rPr>
        <w:t xml:space="preserve"> и </w:t>
      </w:r>
      <w:proofErr w:type="gramStart"/>
      <w:r w:rsidR="00524A2A">
        <w:rPr>
          <w:sz w:val="24"/>
          <w:szCs w:val="24"/>
        </w:rPr>
        <w:t>Ямало-Ненецком</w:t>
      </w:r>
      <w:proofErr w:type="gramEnd"/>
      <w:r w:rsidR="00524A2A">
        <w:rPr>
          <w:sz w:val="24"/>
          <w:szCs w:val="24"/>
        </w:rPr>
        <w:t xml:space="preserve"> автономны</w:t>
      </w:r>
      <w:r w:rsidR="00C575EB">
        <w:rPr>
          <w:sz w:val="24"/>
          <w:szCs w:val="24"/>
        </w:rPr>
        <w:t>х</w:t>
      </w:r>
      <w:r w:rsidR="00524A2A">
        <w:rPr>
          <w:sz w:val="24"/>
          <w:szCs w:val="24"/>
        </w:rPr>
        <w:t xml:space="preserve"> округа</w:t>
      </w:r>
      <w:r w:rsidR="00C575EB">
        <w:rPr>
          <w:sz w:val="24"/>
          <w:szCs w:val="24"/>
        </w:rPr>
        <w:t>х</w:t>
      </w:r>
      <w:r w:rsidR="00524A2A">
        <w:rPr>
          <w:sz w:val="24"/>
          <w:szCs w:val="24"/>
        </w:rPr>
        <w:t xml:space="preserve">. </w:t>
      </w:r>
      <w:r w:rsidR="000E3EDE">
        <w:rPr>
          <w:sz w:val="24"/>
          <w:szCs w:val="24"/>
        </w:rPr>
        <w:t xml:space="preserve">По объему привлеченных инвестиций </w:t>
      </w:r>
      <w:r w:rsidR="001F0359">
        <w:rPr>
          <w:sz w:val="24"/>
          <w:szCs w:val="24"/>
        </w:rPr>
        <w:t xml:space="preserve">Татарстан </w:t>
      </w:r>
      <w:r w:rsidR="004C6902">
        <w:rPr>
          <w:sz w:val="24"/>
          <w:szCs w:val="24"/>
        </w:rPr>
        <w:t>незначительно уступ</w:t>
      </w:r>
      <w:r w:rsidR="004D60DB">
        <w:rPr>
          <w:sz w:val="24"/>
          <w:szCs w:val="24"/>
        </w:rPr>
        <w:t>и</w:t>
      </w:r>
      <w:r w:rsidR="004C6902">
        <w:rPr>
          <w:sz w:val="24"/>
          <w:szCs w:val="24"/>
        </w:rPr>
        <w:t>л</w:t>
      </w:r>
      <w:r w:rsidR="0082130D">
        <w:rPr>
          <w:sz w:val="24"/>
          <w:szCs w:val="24"/>
        </w:rPr>
        <w:t xml:space="preserve"> </w:t>
      </w:r>
      <w:r w:rsidR="00DC3193">
        <w:rPr>
          <w:sz w:val="24"/>
          <w:szCs w:val="24"/>
        </w:rPr>
        <w:t>Санкт</w:t>
      </w:r>
      <w:r w:rsidR="0082130D">
        <w:rPr>
          <w:sz w:val="24"/>
          <w:szCs w:val="24"/>
        </w:rPr>
        <w:noBreakHyphen/>
      </w:r>
      <w:r w:rsidR="00DC3193">
        <w:rPr>
          <w:sz w:val="24"/>
          <w:szCs w:val="24"/>
        </w:rPr>
        <w:t>Петербург</w:t>
      </w:r>
      <w:r w:rsidR="004C6902">
        <w:rPr>
          <w:sz w:val="24"/>
          <w:szCs w:val="24"/>
        </w:rPr>
        <w:t>у</w:t>
      </w:r>
      <w:r w:rsidR="00524A2A">
        <w:rPr>
          <w:sz w:val="24"/>
          <w:szCs w:val="24"/>
        </w:rPr>
        <w:t>, заняв 6</w:t>
      </w:r>
      <w:r w:rsidR="00172144">
        <w:rPr>
          <w:sz w:val="24"/>
          <w:szCs w:val="24"/>
        </w:rPr>
        <w:t>-е</w:t>
      </w:r>
      <w:r w:rsidR="00524A2A">
        <w:rPr>
          <w:sz w:val="24"/>
          <w:szCs w:val="24"/>
        </w:rPr>
        <w:t xml:space="preserve"> место</w:t>
      </w:r>
      <w:r w:rsidR="00331363">
        <w:rPr>
          <w:sz w:val="24"/>
          <w:szCs w:val="24"/>
        </w:rPr>
        <w:t>.</w:t>
      </w:r>
      <w:r w:rsidR="00331363" w:rsidRPr="00331363">
        <w:rPr>
          <w:sz w:val="24"/>
          <w:szCs w:val="24"/>
        </w:rPr>
        <w:t xml:space="preserve"> </w:t>
      </w:r>
    </w:p>
    <w:p w14:paraId="13095EFF" w14:textId="6345C04C" w:rsidR="004327B7" w:rsidRDefault="004327B7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структуре инвестиций </w:t>
      </w:r>
      <w:r w:rsidR="00372101">
        <w:rPr>
          <w:sz w:val="24"/>
          <w:szCs w:val="24"/>
        </w:rPr>
        <w:t xml:space="preserve">крупных и средних предприятий </w:t>
      </w:r>
      <w:r>
        <w:rPr>
          <w:sz w:val="24"/>
          <w:szCs w:val="24"/>
        </w:rPr>
        <w:t>Республики Татарстан преобладают обрабатывающие производства (</w:t>
      </w:r>
      <w:r w:rsidR="003501AF">
        <w:rPr>
          <w:sz w:val="24"/>
          <w:szCs w:val="24"/>
        </w:rPr>
        <w:t>32</w:t>
      </w:r>
      <w:r w:rsidR="00DB1BF1">
        <w:rPr>
          <w:sz w:val="24"/>
          <w:szCs w:val="24"/>
        </w:rPr>
        <w:t>,6</w:t>
      </w:r>
      <w:r w:rsidR="003501AF">
        <w:rPr>
          <w:sz w:val="24"/>
          <w:szCs w:val="24"/>
        </w:rPr>
        <w:t>%), транспортировка и хранение (</w:t>
      </w:r>
      <w:r w:rsidR="00DB1BF1">
        <w:rPr>
          <w:sz w:val="24"/>
          <w:szCs w:val="24"/>
        </w:rPr>
        <w:t>19,1</w:t>
      </w:r>
      <w:r w:rsidR="003501AF">
        <w:rPr>
          <w:sz w:val="24"/>
          <w:szCs w:val="24"/>
        </w:rPr>
        <w:t xml:space="preserve">%) и </w:t>
      </w:r>
      <w:r w:rsidR="00DB1BF1">
        <w:rPr>
          <w:sz w:val="24"/>
          <w:szCs w:val="24"/>
        </w:rPr>
        <w:t>добыча полезных ископаемых</w:t>
      </w:r>
      <w:r w:rsidR="003501AF">
        <w:rPr>
          <w:sz w:val="24"/>
          <w:szCs w:val="24"/>
        </w:rPr>
        <w:t xml:space="preserve"> (</w:t>
      </w:r>
      <w:r w:rsidR="00DB1BF1">
        <w:rPr>
          <w:sz w:val="24"/>
          <w:szCs w:val="24"/>
        </w:rPr>
        <w:t>13</w:t>
      </w:r>
      <w:r w:rsidR="003501AF">
        <w:rPr>
          <w:sz w:val="24"/>
          <w:szCs w:val="24"/>
        </w:rPr>
        <w:t xml:space="preserve">%). Среди обрабатывающей промышленности наибольший объем инвестиций </w:t>
      </w:r>
      <w:r w:rsidR="00DB1BF1">
        <w:rPr>
          <w:sz w:val="24"/>
          <w:szCs w:val="24"/>
        </w:rPr>
        <w:br/>
      </w:r>
      <w:r w:rsidR="003501AF">
        <w:rPr>
          <w:sz w:val="24"/>
          <w:szCs w:val="24"/>
        </w:rPr>
        <w:t xml:space="preserve">в основной капитал в </w:t>
      </w:r>
      <w:r w:rsidR="00DB1BF1">
        <w:rPr>
          <w:sz w:val="24"/>
          <w:szCs w:val="24"/>
        </w:rPr>
        <w:t>2</w:t>
      </w:r>
      <w:r w:rsidR="003501AF">
        <w:rPr>
          <w:sz w:val="24"/>
          <w:szCs w:val="24"/>
        </w:rPr>
        <w:t xml:space="preserve">-м квартале 2024 года пришелся на производство химических веществ </w:t>
      </w:r>
      <w:r w:rsidR="00DB1BF1">
        <w:rPr>
          <w:sz w:val="24"/>
          <w:szCs w:val="24"/>
        </w:rPr>
        <w:br/>
      </w:r>
      <w:r w:rsidR="003501AF">
        <w:rPr>
          <w:sz w:val="24"/>
          <w:szCs w:val="24"/>
        </w:rPr>
        <w:t>и продуктов (</w:t>
      </w:r>
      <w:r w:rsidR="00DB1BF1">
        <w:rPr>
          <w:sz w:val="24"/>
          <w:szCs w:val="24"/>
        </w:rPr>
        <w:t>32,5</w:t>
      </w:r>
      <w:r w:rsidR="003501AF">
        <w:rPr>
          <w:sz w:val="24"/>
          <w:szCs w:val="24"/>
        </w:rPr>
        <w:t xml:space="preserve">% от объема инвестиций в основной капитал обрабатывающей промышленности), </w:t>
      </w:r>
      <w:r w:rsidR="00DB1BF1">
        <w:rPr>
          <w:sz w:val="24"/>
          <w:szCs w:val="24"/>
        </w:rPr>
        <w:br/>
      </w:r>
      <w:r w:rsidR="003501AF">
        <w:rPr>
          <w:sz w:val="24"/>
          <w:szCs w:val="24"/>
        </w:rPr>
        <w:t>а также производство кокса и нефтепродуктов (</w:t>
      </w:r>
      <w:r w:rsidR="00DB1BF1">
        <w:rPr>
          <w:sz w:val="24"/>
          <w:szCs w:val="24"/>
        </w:rPr>
        <w:t>21,</w:t>
      </w:r>
      <w:r w:rsidR="00633582">
        <w:rPr>
          <w:sz w:val="24"/>
          <w:szCs w:val="24"/>
        </w:rPr>
        <w:t>9</w:t>
      </w:r>
      <w:r w:rsidR="008F4EAF">
        <w:rPr>
          <w:sz w:val="24"/>
          <w:szCs w:val="24"/>
        </w:rPr>
        <w:t>%).</w:t>
      </w:r>
    </w:p>
    <w:p w14:paraId="786AADDA" w14:textId="7F284304" w:rsidR="008F4EAF" w:rsidRDefault="008F4EAF" w:rsidP="0037210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Московской области крупнейшими отраслями по объему капиталовложений в январе – </w:t>
      </w:r>
      <w:r w:rsidR="00DB1BF1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 года являются: обрабатывающие</w:t>
      </w:r>
      <w:r w:rsidR="00BC20F7">
        <w:rPr>
          <w:sz w:val="24"/>
          <w:szCs w:val="24"/>
        </w:rPr>
        <w:t xml:space="preserve"> производства (21,3%), деятельность профессиональная, научная и техническая </w:t>
      </w:r>
      <w:r w:rsidR="00372101">
        <w:rPr>
          <w:sz w:val="24"/>
          <w:szCs w:val="24"/>
        </w:rPr>
        <w:t>(</w:t>
      </w:r>
      <w:r w:rsidR="00DB1BF1">
        <w:rPr>
          <w:sz w:val="24"/>
          <w:szCs w:val="24"/>
        </w:rPr>
        <w:t>17,7</w:t>
      </w:r>
      <w:r w:rsidR="00372101">
        <w:rPr>
          <w:sz w:val="24"/>
          <w:szCs w:val="24"/>
        </w:rPr>
        <w:t xml:space="preserve">%), </w:t>
      </w:r>
      <w:r w:rsidR="00DB1BF1">
        <w:rPr>
          <w:sz w:val="24"/>
          <w:szCs w:val="24"/>
        </w:rPr>
        <w:t xml:space="preserve">транспортировка и хранение </w:t>
      </w:r>
      <w:r w:rsidR="00372101">
        <w:rPr>
          <w:sz w:val="24"/>
          <w:szCs w:val="24"/>
        </w:rPr>
        <w:t>(</w:t>
      </w:r>
      <w:r w:rsidR="00DB1BF1">
        <w:rPr>
          <w:sz w:val="24"/>
          <w:szCs w:val="24"/>
        </w:rPr>
        <w:t>11,3</w:t>
      </w:r>
      <w:r w:rsidR="00372101">
        <w:rPr>
          <w:sz w:val="24"/>
          <w:szCs w:val="24"/>
        </w:rPr>
        <w:t xml:space="preserve">%) и </w:t>
      </w:r>
      <w:r w:rsidR="00372101" w:rsidRPr="00372101">
        <w:rPr>
          <w:sz w:val="24"/>
          <w:szCs w:val="24"/>
        </w:rPr>
        <w:t>обеспечение электрической энергией, газом и паром;</w:t>
      </w:r>
      <w:r w:rsidR="00372101">
        <w:rPr>
          <w:sz w:val="24"/>
          <w:szCs w:val="24"/>
        </w:rPr>
        <w:t xml:space="preserve"> </w:t>
      </w:r>
      <w:r w:rsidR="00372101" w:rsidRPr="00372101">
        <w:rPr>
          <w:sz w:val="24"/>
          <w:szCs w:val="24"/>
        </w:rPr>
        <w:t>кондиционирование воздуха</w:t>
      </w:r>
      <w:r w:rsidR="00372101">
        <w:rPr>
          <w:sz w:val="24"/>
          <w:szCs w:val="24"/>
        </w:rPr>
        <w:t xml:space="preserve"> (</w:t>
      </w:r>
      <w:r w:rsidR="00DB1BF1">
        <w:rPr>
          <w:sz w:val="24"/>
          <w:szCs w:val="24"/>
        </w:rPr>
        <w:t>11,3</w:t>
      </w:r>
      <w:r w:rsidR="00372101">
        <w:rPr>
          <w:sz w:val="24"/>
          <w:szCs w:val="24"/>
        </w:rPr>
        <w:t>%).</w:t>
      </w:r>
    </w:p>
    <w:p w14:paraId="44DC754F" w14:textId="4681DD66" w:rsidR="00B70F00" w:rsidRDefault="001C4F8A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Ленинградская область, продемонстрировав высокие показатели</w:t>
      </w:r>
      <w:r w:rsidR="00106160">
        <w:rPr>
          <w:sz w:val="24"/>
          <w:szCs w:val="24"/>
        </w:rPr>
        <w:t xml:space="preserve"> ИФО (</w:t>
      </w:r>
      <w:r w:rsidR="00372101">
        <w:rPr>
          <w:sz w:val="24"/>
          <w:szCs w:val="24"/>
        </w:rPr>
        <w:t>1</w:t>
      </w:r>
      <w:r w:rsidR="00DB1BF1">
        <w:rPr>
          <w:sz w:val="24"/>
          <w:szCs w:val="24"/>
        </w:rPr>
        <w:t>36,1</w:t>
      </w:r>
      <w:r w:rsidR="00372101">
        <w:rPr>
          <w:sz w:val="24"/>
          <w:szCs w:val="24"/>
        </w:rPr>
        <w:t>%) по объему инвестиций в основной капитал</w:t>
      </w:r>
      <w:r w:rsidR="00E7329A">
        <w:rPr>
          <w:sz w:val="24"/>
          <w:szCs w:val="24"/>
        </w:rPr>
        <w:t>,</w:t>
      </w:r>
      <w:bookmarkStart w:id="1" w:name="_GoBack"/>
      <w:bookmarkEnd w:id="1"/>
      <w:r w:rsidR="00372101">
        <w:rPr>
          <w:sz w:val="24"/>
          <w:szCs w:val="24"/>
        </w:rPr>
        <w:t xml:space="preserve"> переместилась с 11 строчки в </w:t>
      </w:r>
      <w:r w:rsidR="00BE7681">
        <w:rPr>
          <w:sz w:val="24"/>
          <w:szCs w:val="24"/>
        </w:rPr>
        <w:t>2</w:t>
      </w:r>
      <w:r w:rsidR="00372101">
        <w:rPr>
          <w:sz w:val="24"/>
          <w:szCs w:val="24"/>
        </w:rPr>
        <w:t xml:space="preserve">-м квартале 2023 года на </w:t>
      </w:r>
      <w:r w:rsidR="00DB1BF1">
        <w:rPr>
          <w:sz w:val="24"/>
          <w:szCs w:val="24"/>
        </w:rPr>
        <w:t>10</w:t>
      </w:r>
      <w:r w:rsidR="00372101">
        <w:rPr>
          <w:sz w:val="24"/>
          <w:szCs w:val="24"/>
        </w:rPr>
        <w:t xml:space="preserve"> место </w:t>
      </w:r>
      <w:r w:rsidR="00372101">
        <w:rPr>
          <w:sz w:val="24"/>
          <w:szCs w:val="24"/>
        </w:rPr>
        <w:br/>
        <w:t>в аналогичном периоде 2024 года</w:t>
      </w:r>
      <w:r>
        <w:rPr>
          <w:sz w:val="24"/>
          <w:szCs w:val="24"/>
        </w:rPr>
        <w:t xml:space="preserve">. </w:t>
      </w:r>
      <w:r w:rsidR="00DB1BF1">
        <w:rPr>
          <w:sz w:val="24"/>
          <w:szCs w:val="24"/>
        </w:rPr>
        <w:t>Свыше половины</w:t>
      </w:r>
      <w:r w:rsidR="002E6D60">
        <w:rPr>
          <w:sz w:val="24"/>
          <w:szCs w:val="24"/>
        </w:rPr>
        <w:t xml:space="preserve"> капиталовложени</w:t>
      </w:r>
      <w:r w:rsidR="003951C3">
        <w:rPr>
          <w:sz w:val="24"/>
          <w:szCs w:val="24"/>
        </w:rPr>
        <w:t>й</w:t>
      </w:r>
      <w:r w:rsidR="00372101">
        <w:rPr>
          <w:sz w:val="24"/>
          <w:szCs w:val="24"/>
        </w:rPr>
        <w:t xml:space="preserve"> в регионе</w:t>
      </w:r>
      <w:r w:rsidR="003951C3">
        <w:rPr>
          <w:sz w:val="24"/>
          <w:szCs w:val="24"/>
        </w:rPr>
        <w:t xml:space="preserve"> (</w:t>
      </w:r>
      <w:r w:rsidR="00DB1BF1">
        <w:rPr>
          <w:sz w:val="24"/>
          <w:szCs w:val="24"/>
        </w:rPr>
        <w:t>53,3</w:t>
      </w:r>
      <w:r w:rsidR="003951C3">
        <w:rPr>
          <w:sz w:val="24"/>
          <w:szCs w:val="24"/>
        </w:rPr>
        <w:t xml:space="preserve">%) пришлось </w:t>
      </w:r>
      <w:r w:rsidR="005238A9">
        <w:rPr>
          <w:sz w:val="24"/>
          <w:szCs w:val="24"/>
        </w:rPr>
        <w:br/>
      </w:r>
      <w:r w:rsidR="003951C3">
        <w:rPr>
          <w:sz w:val="24"/>
          <w:szCs w:val="24"/>
        </w:rPr>
        <w:t>на обрабатывающ</w:t>
      </w:r>
      <w:r w:rsidR="005238A9">
        <w:rPr>
          <w:sz w:val="24"/>
          <w:szCs w:val="24"/>
        </w:rPr>
        <w:t>ую промышленность</w:t>
      </w:r>
      <w:r w:rsidR="00372101">
        <w:rPr>
          <w:sz w:val="24"/>
          <w:szCs w:val="24"/>
        </w:rPr>
        <w:t>, из которых 89,</w:t>
      </w:r>
      <w:r w:rsidR="00DB1BF1">
        <w:rPr>
          <w:sz w:val="24"/>
          <w:szCs w:val="24"/>
        </w:rPr>
        <w:t>3</w:t>
      </w:r>
      <w:r w:rsidR="00372101">
        <w:rPr>
          <w:sz w:val="24"/>
          <w:szCs w:val="24"/>
        </w:rPr>
        <w:t>% составили инвестиции в производство химических веществ и продуктов</w:t>
      </w:r>
      <w:r w:rsidR="002D7A02">
        <w:rPr>
          <w:sz w:val="24"/>
          <w:szCs w:val="24"/>
        </w:rPr>
        <w:t>. Среди других отраслей</w:t>
      </w:r>
      <w:r w:rsidR="002D7A02" w:rsidRPr="002D7A02">
        <w:rPr>
          <w:sz w:val="24"/>
          <w:szCs w:val="24"/>
        </w:rPr>
        <w:t xml:space="preserve"> </w:t>
      </w:r>
      <w:r w:rsidR="002D7A02">
        <w:rPr>
          <w:sz w:val="24"/>
          <w:szCs w:val="24"/>
        </w:rPr>
        <w:t>экономики</w:t>
      </w:r>
      <w:r w:rsidR="002D7A02" w:rsidRPr="002D7A02">
        <w:rPr>
          <w:sz w:val="24"/>
          <w:szCs w:val="24"/>
        </w:rPr>
        <w:t xml:space="preserve"> </w:t>
      </w:r>
      <w:r w:rsidR="002D7A02">
        <w:rPr>
          <w:sz w:val="24"/>
          <w:szCs w:val="24"/>
        </w:rPr>
        <w:t xml:space="preserve">Ленинградской области </w:t>
      </w:r>
      <w:r w:rsidR="002D7A02">
        <w:rPr>
          <w:sz w:val="24"/>
          <w:szCs w:val="24"/>
        </w:rPr>
        <w:br/>
        <w:t>в наибольшей степени был</w:t>
      </w:r>
      <w:r w:rsidR="00172144">
        <w:rPr>
          <w:sz w:val="24"/>
          <w:szCs w:val="24"/>
        </w:rPr>
        <w:t>и</w:t>
      </w:r>
      <w:r w:rsidR="002D7A02">
        <w:rPr>
          <w:sz w:val="24"/>
          <w:szCs w:val="24"/>
        </w:rPr>
        <w:t xml:space="preserve"> представлен</w:t>
      </w:r>
      <w:r w:rsidR="00633582">
        <w:rPr>
          <w:sz w:val="24"/>
          <w:szCs w:val="24"/>
        </w:rPr>
        <w:t>ы</w:t>
      </w:r>
      <w:r w:rsidR="00633582" w:rsidRPr="00633582">
        <w:t xml:space="preserve"> </w:t>
      </w:r>
      <w:r w:rsidR="00633582" w:rsidRPr="00633582">
        <w:rPr>
          <w:sz w:val="24"/>
          <w:szCs w:val="24"/>
        </w:rPr>
        <w:t>операци</w:t>
      </w:r>
      <w:r w:rsidR="00633582">
        <w:rPr>
          <w:sz w:val="24"/>
          <w:szCs w:val="24"/>
        </w:rPr>
        <w:t>и</w:t>
      </w:r>
      <w:r w:rsidR="00633582" w:rsidRPr="00633582">
        <w:rPr>
          <w:sz w:val="24"/>
          <w:szCs w:val="24"/>
        </w:rPr>
        <w:t xml:space="preserve"> с недвижимым имуществом</w:t>
      </w:r>
      <w:r w:rsidR="002D7A02">
        <w:rPr>
          <w:sz w:val="24"/>
          <w:szCs w:val="24"/>
        </w:rPr>
        <w:t xml:space="preserve"> </w:t>
      </w:r>
      <w:r w:rsidR="00633582">
        <w:rPr>
          <w:sz w:val="24"/>
          <w:szCs w:val="24"/>
        </w:rPr>
        <w:t xml:space="preserve">(19,1%) </w:t>
      </w:r>
      <w:r w:rsidR="00633582">
        <w:rPr>
          <w:sz w:val="24"/>
          <w:szCs w:val="24"/>
        </w:rPr>
        <w:br/>
        <w:t xml:space="preserve">и </w:t>
      </w:r>
      <w:r w:rsidR="002D7A02">
        <w:rPr>
          <w:sz w:val="24"/>
          <w:szCs w:val="24"/>
        </w:rPr>
        <w:t>транспортировка и хранение (1</w:t>
      </w:r>
      <w:r w:rsidR="00633582">
        <w:rPr>
          <w:sz w:val="24"/>
          <w:szCs w:val="24"/>
        </w:rPr>
        <w:t>8,3</w:t>
      </w:r>
      <w:r w:rsidR="002D7A02">
        <w:rPr>
          <w:sz w:val="24"/>
          <w:szCs w:val="24"/>
        </w:rPr>
        <w:t>%).</w:t>
      </w:r>
    </w:p>
    <w:p w14:paraId="47730EA2" w14:textId="77777777" w:rsidR="00D54FF9" w:rsidRPr="0035252C" w:rsidRDefault="00D54FF9">
      <w:pPr>
        <w:spacing w:after="0" w:line="240" w:lineRule="auto"/>
        <w:ind w:firstLine="567"/>
        <w:jc w:val="both"/>
        <w:rPr>
          <w:i/>
          <w:sz w:val="20"/>
          <w:szCs w:val="20"/>
        </w:rPr>
      </w:pPr>
    </w:p>
    <w:sectPr w:rsidR="00D54FF9" w:rsidRPr="0035252C" w:rsidSect="00CA1C93">
      <w:headerReference w:type="first" r:id="rId14"/>
      <w:footerReference w:type="first" r:id="rId15"/>
      <w:pgSz w:w="11906" w:h="16838"/>
      <w:pgMar w:top="851" w:right="567" w:bottom="567" w:left="851" w:header="119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FBAEF" w14:textId="77777777" w:rsidR="000C28A6" w:rsidRDefault="000C28A6" w:rsidP="00CA1C93">
      <w:pPr>
        <w:spacing w:after="0" w:line="240" w:lineRule="auto"/>
      </w:pPr>
      <w:r>
        <w:separator/>
      </w:r>
    </w:p>
  </w:endnote>
  <w:endnote w:type="continuationSeparator" w:id="0">
    <w:p w14:paraId="6CEE335D" w14:textId="77777777" w:rsidR="000C28A6" w:rsidRDefault="000C28A6" w:rsidP="00CA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0DCDF" w14:textId="1AF0A2C2" w:rsidR="004C6902" w:rsidRPr="0071352E" w:rsidRDefault="004C6902" w:rsidP="0071352E">
    <w:pPr>
      <w:pStyle w:val="a5"/>
      <w:jc w:val="center"/>
    </w:pPr>
    <w:r>
      <w:t>Санкт-Петербург 202</w:t>
    </w:r>
    <w:r w:rsidR="00336534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30012" w14:textId="77777777" w:rsidR="000C28A6" w:rsidRDefault="000C28A6" w:rsidP="00CA1C93">
      <w:pPr>
        <w:spacing w:after="0" w:line="240" w:lineRule="auto"/>
      </w:pPr>
      <w:r>
        <w:separator/>
      </w:r>
    </w:p>
  </w:footnote>
  <w:footnote w:type="continuationSeparator" w:id="0">
    <w:p w14:paraId="24DBE3EB" w14:textId="77777777" w:rsidR="000C28A6" w:rsidRDefault="000C28A6" w:rsidP="00CA1C93">
      <w:pPr>
        <w:spacing w:after="0" w:line="240" w:lineRule="auto"/>
      </w:pPr>
      <w:r>
        <w:continuationSeparator/>
      </w:r>
    </w:p>
  </w:footnote>
  <w:footnote w:id="1">
    <w:p w14:paraId="72EDFCB7" w14:textId="3C2AC9A4" w:rsidR="008F3DC9" w:rsidRDefault="00E24791" w:rsidP="000A7963">
      <w:pPr>
        <w:pStyle w:val="a9"/>
        <w:jc w:val="both"/>
      </w:pPr>
      <w:r>
        <w:rPr>
          <w:rStyle w:val="ab"/>
        </w:rPr>
        <w:footnoteRef/>
      </w:r>
      <w:r>
        <w:t xml:space="preserve"> Представлены виды деятельности, на которые приходится </w:t>
      </w:r>
      <w:r w:rsidR="008C0B41">
        <w:t>2</w:t>
      </w:r>
      <w:r>
        <w:t>% и более от объема инвестиций</w:t>
      </w:r>
      <w:r w:rsidR="008F3DC9">
        <w:t xml:space="preserve"> в основной капитал</w:t>
      </w:r>
      <w:r w:rsidR="00702377">
        <w:t>.</w:t>
      </w:r>
    </w:p>
  </w:footnote>
  <w:footnote w:id="2">
    <w:p w14:paraId="6DC5310D" w14:textId="5120557A" w:rsidR="00B07414" w:rsidRDefault="00B07414" w:rsidP="000A7963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B07414">
        <w:t>Представлены виды деятельности, на которые приходится 2% и более от объема инвестиций в основной капитал</w:t>
      </w:r>
      <w:r>
        <w:t xml:space="preserve"> обрабатывающих производств</w:t>
      </w:r>
      <w:r w:rsidR="00702377">
        <w:t>.</w:t>
      </w:r>
    </w:p>
  </w:footnote>
  <w:footnote w:id="3">
    <w:p w14:paraId="49521BD6" w14:textId="3BAC138D" w:rsidR="00234E8E" w:rsidRPr="00234E8E" w:rsidRDefault="00234E8E" w:rsidP="00234E8E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34E8E">
        <w:t xml:space="preserve">В ОЭЗ </w:t>
      </w:r>
      <w:r w:rsidR="00172144">
        <w:t>«</w:t>
      </w:r>
      <w:r w:rsidRPr="00234E8E">
        <w:t>Санкт-Петербург</w:t>
      </w:r>
      <w:r w:rsidR="00172144">
        <w:t>»</w:t>
      </w:r>
      <w:r w:rsidRPr="00234E8E">
        <w:t xml:space="preserve"> в 2024 году планируют построить завод за 1,5 млрд рублей</w:t>
      </w:r>
      <w:r>
        <w:t xml:space="preserve">. ТАСС. </w:t>
      </w:r>
      <w:r>
        <w:rPr>
          <w:lang w:val="en-US"/>
        </w:rPr>
        <w:t>URL</w:t>
      </w:r>
      <w:r>
        <w:t xml:space="preserve">: </w:t>
      </w:r>
      <w:hyperlink r:id="rId1" w:history="1">
        <w:r w:rsidRPr="00AE0B0F">
          <w:rPr>
            <w:rStyle w:val="ad"/>
          </w:rPr>
          <w:t>https://tass.ru/ekonomika/18751711?utm_source=rfinance</w:t>
        </w:r>
      </w:hyperlink>
      <w:r>
        <w:t xml:space="preserve"> (дата обращения: 13.0</w:t>
      </w:r>
      <w:r w:rsidR="0035252C">
        <w:t>9</w:t>
      </w:r>
      <w:r>
        <w:t>.2024)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97E9B" w14:textId="6A455D10" w:rsidR="004C6902" w:rsidRDefault="004C6902">
    <w:pPr>
      <w:pStyle w:val="a3"/>
    </w:pPr>
    <w:r w:rsidRPr="00CA1C93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FC2DAF9" wp14:editId="6293CBC6">
          <wp:simplePos x="0" y="0"/>
          <wp:positionH relativeFrom="margin">
            <wp:posOffset>0</wp:posOffset>
          </wp:positionH>
          <wp:positionV relativeFrom="margin">
            <wp:posOffset>-389890</wp:posOffset>
          </wp:positionV>
          <wp:extent cx="3862070" cy="359410"/>
          <wp:effectExtent l="0" t="0" r="0" b="254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20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1C93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4FD21FD" wp14:editId="00414229">
          <wp:simplePos x="0" y="0"/>
          <wp:positionH relativeFrom="column">
            <wp:posOffset>5328920</wp:posOffset>
          </wp:positionH>
          <wp:positionV relativeFrom="paragraph">
            <wp:posOffset>-216943</wp:posOffset>
          </wp:positionV>
          <wp:extent cx="1313815" cy="359410"/>
          <wp:effectExtent l="0" t="0" r="635" b="254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3C4"/>
    <w:multiLevelType w:val="hybridMultilevel"/>
    <w:tmpl w:val="608EB9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5EC7E8E"/>
    <w:multiLevelType w:val="hybridMultilevel"/>
    <w:tmpl w:val="C54467C6"/>
    <w:lvl w:ilvl="0" w:tplc="8954E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93"/>
    <w:rsid w:val="0000221F"/>
    <w:rsid w:val="000042BA"/>
    <w:rsid w:val="00022450"/>
    <w:rsid w:val="00032C3F"/>
    <w:rsid w:val="0004272D"/>
    <w:rsid w:val="0005210A"/>
    <w:rsid w:val="0006453C"/>
    <w:rsid w:val="0006785D"/>
    <w:rsid w:val="0008302A"/>
    <w:rsid w:val="0008500A"/>
    <w:rsid w:val="000949D1"/>
    <w:rsid w:val="000A7963"/>
    <w:rsid w:val="000B34EA"/>
    <w:rsid w:val="000B58F1"/>
    <w:rsid w:val="000B5F37"/>
    <w:rsid w:val="000C28A6"/>
    <w:rsid w:val="000C2F29"/>
    <w:rsid w:val="000D042E"/>
    <w:rsid w:val="000D2045"/>
    <w:rsid w:val="000E3EDE"/>
    <w:rsid w:val="000F4DA4"/>
    <w:rsid w:val="000F70DD"/>
    <w:rsid w:val="000F7E1F"/>
    <w:rsid w:val="00106160"/>
    <w:rsid w:val="00111964"/>
    <w:rsid w:val="00112836"/>
    <w:rsid w:val="00134FEC"/>
    <w:rsid w:val="001371EB"/>
    <w:rsid w:val="00157751"/>
    <w:rsid w:val="00157B82"/>
    <w:rsid w:val="00161612"/>
    <w:rsid w:val="001661ED"/>
    <w:rsid w:val="00167EB7"/>
    <w:rsid w:val="001702D7"/>
    <w:rsid w:val="00172144"/>
    <w:rsid w:val="00197518"/>
    <w:rsid w:val="00197851"/>
    <w:rsid w:val="001A0843"/>
    <w:rsid w:val="001B0325"/>
    <w:rsid w:val="001B4CB3"/>
    <w:rsid w:val="001C4F8A"/>
    <w:rsid w:val="001C62AD"/>
    <w:rsid w:val="001D1751"/>
    <w:rsid w:val="001D31C2"/>
    <w:rsid w:val="001E59C6"/>
    <w:rsid w:val="001F0359"/>
    <w:rsid w:val="001F6B7C"/>
    <w:rsid w:val="00201B6E"/>
    <w:rsid w:val="002155B3"/>
    <w:rsid w:val="002201AB"/>
    <w:rsid w:val="002334DD"/>
    <w:rsid w:val="00234E8E"/>
    <w:rsid w:val="002452D5"/>
    <w:rsid w:val="002457AB"/>
    <w:rsid w:val="002624ED"/>
    <w:rsid w:val="002637B4"/>
    <w:rsid w:val="00267C01"/>
    <w:rsid w:val="00274EAA"/>
    <w:rsid w:val="00285F6C"/>
    <w:rsid w:val="002929A2"/>
    <w:rsid w:val="00297266"/>
    <w:rsid w:val="002A03D5"/>
    <w:rsid w:val="002A4B2B"/>
    <w:rsid w:val="002A6370"/>
    <w:rsid w:val="002B0274"/>
    <w:rsid w:val="002B0399"/>
    <w:rsid w:val="002B52D9"/>
    <w:rsid w:val="002B5D2C"/>
    <w:rsid w:val="002B64EB"/>
    <w:rsid w:val="002C216B"/>
    <w:rsid w:val="002C25C3"/>
    <w:rsid w:val="002C5225"/>
    <w:rsid w:val="002D1012"/>
    <w:rsid w:val="002D280B"/>
    <w:rsid w:val="002D52B4"/>
    <w:rsid w:val="002D7A02"/>
    <w:rsid w:val="002E30BF"/>
    <w:rsid w:val="002E6D60"/>
    <w:rsid w:val="002E75ED"/>
    <w:rsid w:val="002F43A4"/>
    <w:rsid w:val="002F704E"/>
    <w:rsid w:val="00307660"/>
    <w:rsid w:val="00312514"/>
    <w:rsid w:val="00314308"/>
    <w:rsid w:val="003206E6"/>
    <w:rsid w:val="00331363"/>
    <w:rsid w:val="00331A60"/>
    <w:rsid w:val="00336534"/>
    <w:rsid w:val="0034771C"/>
    <w:rsid w:val="00347B0B"/>
    <w:rsid w:val="003501AF"/>
    <w:rsid w:val="00351382"/>
    <w:rsid w:val="0035252C"/>
    <w:rsid w:val="00372101"/>
    <w:rsid w:val="00386F53"/>
    <w:rsid w:val="0038790C"/>
    <w:rsid w:val="003951C3"/>
    <w:rsid w:val="00397A7F"/>
    <w:rsid w:val="003A09AC"/>
    <w:rsid w:val="003A3649"/>
    <w:rsid w:val="003A58CF"/>
    <w:rsid w:val="003A6B46"/>
    <w:rsid w:val="003D0366"/>
    <w:rsid w:val="003D401B"/>
    <w:rsid w:val="003E4D00"/>
    <w:rsid w:val="003F0B4F"/>
    <w:rsid w:val="003F1B9F"/>
    <w:rsid w:val="003F351A"/>
    <w:rsid w:val="003F4D67"/>
    <w:rsid w:val="003F53B8"/>
    <w:rsid w:val="004027C4"/>
    <w:rsid w:val="00413101"/>
    <w:rsid w:val="00427702"/>
    <w:rsid w:val="00431FB8"/>
    <w:rsid w:val="004327B7"/>
    <w:rsid w:val="00436364"/>
    <w:rsid w:val="0044413E"/>
    <w:rsid w:val="004452AD"/>
    <w:rsid w:val="00453C24"/>
    <w:rsid w:val="004620F4"/>
    <w:rsid w:val="0046389A"/>
    <w:rsid w:val="0046540D"/>
    <w:rsid w:val="004710BE"/>
    <w:rsid w:val="00482C76"/>
    <w:rsid w:val="00491F12"/>
    <w:rsid w:val="004968B3"/>
    <w:rsid w:val="00496932"/>
    <w:rsid w:val="004A2BD8"/>
    <w:rsid w:val="004A6A9A"/>
    <w:rsid w:val="004B315A"/>
    <w:rsid w:val="004C1C08"/>
    <w:rsid w:val="004C6902"/>
    <w:rsid w:val="004C7EBE"/>
    <w:rsid w:val="004D60DB"/>
    <w:rsid w:val="004D6DEE"/>
    <w:rsid w:val="004D6EBA"/>
    <w:rsid w:val="004E2F2A"/>
    <w:rsid w:val="004E3F71"/>
    <w:rsid w:val="004E6A4A"/>
    <w:rsid w:val="004F09EA"/>
    <w:rsid w:val="00510A2E"/>
    <w:rsid w:val="00517AC2"/>
    <w:rsid w:val="005238A9"/>
    <w:rsid w:val="00524A2A"/>
    <w:rsid w:val="00545256"/>
    <w:rsid w:val="00547448"/>
    <w:rsid w:val="0055064D"/>
    <w:rsid w:val="00570BE5"/>
    <w:rsid w:val="0058366B"/>
    <w:rsid w:val="0058461F"/>
    <w:rsid w:val="00591785"/>
    <w:rsid w:val="00591DB1"/>
    <w:rsid w:val="00595CA2"/>
    <w:rsid w:val="00596C0A"/>
    <w:rsid w:val="005A286A"/>
    <w:rsid w:val="005A2D14"/>
    <w:rsid w:val="005B09DF"/>
    <w:rsid w:val="005C136E"/>
    <w:rsid w:val="005D7C35"/>
    <w:rsid w:val="005E27A4"/>
    <w:rsid w:val="005E2B6C"/>
    <w:rsid w:val="005F4F9E"/>
    <w:rsid w:val="00601473"/>
    <w:rsid w:val="00601A11"/>
    <w:rsid w:val="00601AFD"/>
    <w:rsid w:val="00602A1B"/>
    <w:rsid w:val="00606A7E"/>
    <w:rsid w:val="00616817"/>
    <w:rsid w:val="00620653"/>
    <w:rsid w:val="00633582"/>
    <w:rsid w:val="00635594"/>
    <w:rsid w:val="00637F03"/>
    <w:rsid w:val="00647C12"/>
    <w:rsid w:val="006510E4"/>
    <w:rsid w:val="00670697"/>
    <w:rsid w:val="00670F9C"/>
    <w:rsid w:val="00690541"/>
    <w:rsid w:val="0069204F"/>
    <w:rsid w:val="006A29A6"/>
    <w:rsid w:val="006A2DD3"/>
    <w:rsid w:val="006B1C98"/>
    <w:rsid w:val="006C3B6D"/>
    <w:rsid w:val="006C40A5"/>
    <w:rsid w:val="006D44E0"/>
    <w:rsid w:val="006D5140"/>
    <w:rsid w:val="006D58F9"/>
    <w:rsid w:val="006E5AB7"/>
    <w:rsid w:val="006F2ABD"/>
    <w:rsid w:val="006F5209"/>
    <w:rsid w:val="006F569B"/>
    <w:rsid w:val="006F74B6"/>
    <w:rsid w:val="00700A07"/>
    <w:rsid w:val="00702377"/>
    <w:rsid w:val="00704444"/>
    <w:rsid w:val="007114BF"/>
    <w:rsid w:val="00713341"/>
    <w:rsid w:val="0071352E"/>
    <w:rsid w:val="0071464E"/>
    <w:rsid w:val="00715431"/>
    <w:rsid w:val="007205BA"/>
    <w:rsid w:val="00733533"/>
    <w:rsid w:val="00733C26"/>
    <w:rsid w:val="00741FB3"/>
    <w:rsid w:val="00742935"/>
    <w:rsid w:val="00743DDD"/>
    <w:rsid w:val="007535A7"/>
    <w:rsid w:val="007536D8"/>
    <w:rsid w:val="007555D6"/>
    <w:rsid w:val="0076330B"/>
    <w:rsid w:val="0077264A"/>
    <w:rsid w:val="007813AF"/>
    <w:rsid w:val="007848E5"/>
    <w:rsid w:val="007921FD"/>
    <w:rsid w:val="00792942"/>
    <w:rsid w:val="0079439B"/>
    <w:rsid w:val="00796295"/>
    <w:rsid w:val="007A3AD1"/>
    <w:rsid w:val="007A70AD"/>
    <w:rsid w:val="007B2F4B"/>
    <w:rsid w:val="007C7226"/>
    <w:rsid w:val="007D1B4C"/>
    <w:rsid w:val="007D7DAD"/>
    <w:rsid w:val="007F59A1"/>
    <w:rsid w:val="007F61E2"/>
    <w:rsid w:val="007F6D91"/>
    <w:rsid w:val="00807D5F"/>
    <w:rsid w:val="00813989"/>
    <w:rsid w:val="0082130D"/>
    <w:rsid w:val="00833BFA"/>
    <w:rsid w:val="008444C7"/>
    <w:rsid w:val="00845B5D"/>
    <w:rsid w:val="00846C55"/>
    <w:rsid w:val="0085562D"/>
    <w:rsid w:val="00865D05"/>
    <w:rsid w:val="008705CE"/>
    <w:rsid w:val="00877988"/>
    <w:rsid w:val="00886DCA"/>
    <w:rsid w:val="0089140F"/>
    <w:rsid w:val="008945A2"/>
    <w:rsid w:val="00895510"/>
    <w:rsid w:val="008A143D"/>
    <w:rsid w:val="008A43EC"/>
    <w:rsid w:val="008B1A0C"/>
    <w:rsid w:val="008B3E9A"/>
    <w:rsid w:val="008B5A3D"/>
    <w:rsid w:val="008C0B41"/>
    <w:rsid w:val="008C2548"/>
    <w:rsid w:val="008C4A27"/>
    <w:rsid w:val="008C7D5A"/>
    <w:rsid w:val="008D075B"/>
    <w:rsid w:val="008D1D62"/>
    <w:rsid w:val="008D3166"/>
    <w:rsid w:val="008D4215"/>
    <w:rsid w:val="008E40A2"/>
    <w:rsid w:val="008F248C"/>
    <w:rsid w:val="008F3DC9"/>
    <w:rsid w:val="008F4EAF"/>
    <w:rsid w:val="00904B9D"/>
    <w:rsid w:val="00906E94"/>
    <w:rsid w:val="009075C4"/>
    <w:rsid w:val="00911606"/>
    <w:rsid w:val="009155D0"/>
    <w:rsid w:val="00917ED4"/>
    <w:rsid w:val="0092307C"/>
    <w:rsid w:val="00926217"/>
    <w:rsid w:val="0093022E"/>
    <w:rsid w:val="00930AF9"/>
    <w:rsid w:val="00940027"/>
    <w:rsid w:val="0094481F"/>
    <w:rsid w:val="00945518"/>
    <w:rsid w:val="00947675"/>
    <w:rsid w:val="00951301"/>
    <w:rsid w:val="009521F7"/>
    <w:rsid w:val="0096239A"/>
    <w:rsid w:val="009652C5"/>
    <w:rsid w:val="0096554E"/>
    <w:rsid w:val="00970F63"/>
    <w:rsid w:val="009742B2"/>
    <w:rsid w:val="009765A5"/>
    <w:rsid w:val="009B16BF"/>
    <w:rsid w:val="009C1A1A"/>
    <w:rsid w:val="009C2928"/>
    <w:rsid w:val="009D0DFC"/>
    <w:rsid w:val="009D17E8"/>
    <w:rsid w:val="009D18DC"/>
    <w:rsid w:val="00A008E9"/>
    <w:rsid w:val="00A03A68"/>
    <w:rsid w:val="00A12747"/>
    <w:rsid w:val="00A148D1"/>
    <w:rsid w:val="00A31AEE"/>
    <w:rsid w:val="00A339B5"/>
    <w:rsid w:val="00A40883"/>
    <w:rsid w:val="00A62E40"/>
    <w:rsid w:val="00A7079B"/>
    <w:rsid w:val="00A91AEA"/>
    <w:rsid w:val="00AB1AF1"/>
    <w:rsid w:val="00AB5211"/>
    <w:rsid w:val="00AB540A"/>
    <w:rsid w:val="00AC413A"/>
    <w:rsid w:val="00AC6045"/>
    <w:rsid w:val="00AC794A"/>
    <w:rsid w:val="00AF414E"/>
    <w:rsid w:val="00AF4F83"/>
    <w:rsid w:val="00B06AB5"/>
    <w:rsid w:val="00B07414"/>
    <w:rsid w:val="00B1500C"/>
    <w:rsid w:val="00B33302"/>
    <w:rsid w:val="00B410A4"/>
    <w:rsid w:val="00B44E27"/>
    <w:rsid w:val="00B50BE7"/>
    <w:rsid w:val="00B53788"/>
    <w:rsid w:val="00B53F7E"/>
    <w:rsid w:val="00B54F39"/>
    <w:rsid w:val="00B66158"/>
    <w:rsid w:val="00B70F00"/>
    <w:rsid w:val="00B75B75"/>
    <w:rsid w:val="00B75F45"/>
    <w:rsid w:val="00B9472F"/>
    <w:rsid w:val="00B96F4E"/>
    <w:rsid w:val="00BA0486"/>
    <w:rsid w:val="00BA3118"/>
    <w:rsid w:val="00BA376B"/>
    <w:rsid w:val="00BA3EB9"/>
    <w:rsid w:val="00BA6086"/>
    <w:rsid w:val="00BA6AE1"/>
    <w:rsid w:val="00BB1FAC"/>
    <w:rsid w:val="00BB3866"/>
    <w:rsid w:val="00BC0081"/>
    <w:rsid w:val="00BC20F7"/>
    <w:rsid w:val="00BC52D1"/>
    <w:rsid w:val="00BD05FA"/>
    <w:rsid w:val="00BE706F"/>
    <w:rsid w:val="00BE7681"/>
    <w:rsid w:val="00BF086F"/>
    <w:rsid w:val="00BF0B66"/>
    <w:rsid w:val="00BF2686"/>
    <w:rsid w:val="00BF2873"/>
    <w:rsid w:val="00BF4230"/>
    <w:rsid w:val="00C02ADF"/>
    <w:rsid w:val="00C145D8"/>
    <w:rsid w:val="00C17120"/>
    <w:rsid w:val="00C26FFA"/>
    <w:rsid w:val="00C376DD"/>
    <w:rsid w:val="00C42DA1"/>
    <w:rsid w:val="00C4508A"/>
    <w:rsid w:val="00C566D5"/>
    <w:rsid w:val="00C56BF7"/>
    <w:rsid w:val="00C575EB"/>
    <w:rsid w:val="00C641BF"/>
    <w:rsid w:val="00C65D8E"/>
    <w:rsid w:val="00C74F99"/>
    <w:rsid w:val="00C9395B"/>
    <w:rsid w:val="00C94391"/>
    <w:rsid w:val="00CA1C93"/>
    <w:rsid w:val="00CA55BE"/>
    <w:rsid w:val="00CA77F2"/>
    <w:rsid w:val="00CB1FFC"/>
    <w:rsid w:val="00CB3395"/>
    <w:rsid w:val="00CB5AC0"/>
    <w:rsid w:val="00CB665E"/>
    <w:rsid w:val="00CC07CC"/>
    <w:rsid w:val="00CC4D9E"/>
    <w:rsid w:val="00CC762C"/>
    <w:rsid w:val="00CD4CBE"/>
    <w:rsid w:val="00CE1FE8"/>
    <w:rsid w:val="00CE4C16"/>
    <w:rsid w:val="00CF5647"/>
    <w:rsid w:val="00CF7A24"/>
    <w:rsid w:val="00D10D44"/>
    <w:rsid w:val="00D33AA1"/>
    <w:rsid w:val="00D35650"/>
    <w:rsid w:val="00D37217"/>
    <w:rsid w:val="00D40F68"/>
    <w:rsid w:val="00D459AD"/>
    <w:rsid w:val="00D51FBA"/>
    <w:rsid w:val="00D52231"/>
    <w:rsid w:val="00D547B5"/>
    <w:rsid w:val="00D54CF8"/>
    <w:rsid w:val="00D54FF9"/>
    <w:rsid w:val="00D55B4B"/>
    <w:rsid w:val="00D609F3"/>
    <w:rsid w:val="00D62E17"/>
    <w:rsid w:val="00D640ED"/>
    <w:rsid w:val="00D65532"/>
    <w:rsid w:val="00D6674F"/>
    <w:rsid w:val="00D713F1"/>
    <w:rsid w:val="00D84899"/>
    <w:rsid w:val="00D913CA"/>
    <w:rsid w:val="00D91D9D"/>
    <w:rsid w:val="00DA3189"/>
    <w:rsid w:val="00DB1BF1"/>
    <w:rsid w:val="00DC3193"/>
    <w:rsid w:val="00DC4DE7"/>
    <w:rsid w:val="00DD0A05"/>
    <w:rsid w:val="00DD51BB"/>
    <w:rsid w:val="00DD673B"/>
    <w:rsid w:val="00DF5B21"/>
    <w:rsid w:val="00E10590"/>
    <w:rsid w:val="00E1132D"/>
    <w:rsid w:val="00E158B9"/>
    <w:rsid w:val="00E216C7"/>
    <w:rsid w:val="00E24791"/>
    <w:rsid w:val="00E263CA"/>
    <w:rsid w:val="00E34B2B"/>
    <w:rsid w:val="00E35A2E"/>
    <w:rsid w:val="00E45039"/>
    <w:rsid w:val="00E514D4"/>
    <w:rsid w:val="00E725AC"/>
    <w:rsid w:val="00E7329A"/>
    <w:rsid w:val="00E73BC9"/>
    <w:rsid w:val="00E81546"/>
    <w:rsid w:val="00E8681C"/>
    <w:rsid w:val="00E919AD"/>
    <w:rsid w:val="00EA75EB"/>
    <w:rsid w:val="00EB244B"/>
    <w:rsid w:val="00EB31D9"/>
    <w:rsid w:val="00EB3E20"/>
    <w:rsid w:val="00EB6D58"/>
    <w:rsid w:val="00EC7D03"/>
    <w:rsid w:val="00ED0091"/>
    <w:rsid w:val="00ED6981"/>
    <w:rsid w:val="00EF08DF"/>
    <w:rsid w:val="00EF3394"/>
    <w:rsid w:val="00EF4E59"/>
    <w:rsid w:val="00EF5908"/>
    <w:rsid w:val="00EF6602"/>
    <w:rsid w:val="00F111C4"/>
    <w:rsid w:val="00F11A15"/>
    <w:rsid w:val="00F13861"/>
    <w:rsid w:val="00F1781C"/>
    <w:rsid w:val="00F2230B"/>
    <w:rsid w:val="00F23A23"/>
    <w:rsid w:val="00F23F6A"/>
    <w:rsid w:val="00F4237A"/>
    <w:rsid w:val="00F5195F"/>
    <w:rsid w:val="00F64BE3"/>
    <w:rsid w:val="00F7463A"/>
    <w:rsid w:val="00F771A8"/>
    <w:rsid w:val="00F80937"/>
    <w:rsid w:val="00F81775"/>
    <w:rsid w:val="00F86256"/>
    <w:rsid w:val="00F8662A"/>
    <w:rsid w:val="00F905F0"/>
    <w:rsid w:val="00F93119"/>
    <w:rsid w:val="00FB2329"/>
    <w:rsid w:val="00FB67ED"/>
    <w:rsid w:val="00FC1BC6"/>
    <w:rsid w:val="00FD056D"/>
    <w:rsid w:val="00FD0EAB"/>
    <w:rsid w:val="00FD4B9E"/>
    <w:rsid w:val="00FD64DB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C6B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C93"/>
  </w:style>
  <w:style w:type="paragraph" w:styleId="a5">
    <w:name w:val="footer"/>
    <w:basedOn w:val="a"/>
    <w:link w:val="a6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C93"/>
  </w:style>
  <w:style w:type="paragraph" w:styleId="a7">
    <w:name w:val="List Paragraph"/>
    <w:basedOn w:val="a"/>
    <w:uiPriority w:val="34"/>
    <w:qFormat/>
    <w:rsid w:val="00B70F00"/>
    <w:pPr>
      <w:spacing w:after="40" w:line="360" w:lineRule="auto"/>
      <w:ind w:left="720"/>
      <w:contextualSpacing/>
    </w:pPr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B70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B70F0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70F00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70F00"/>
    <w:rPr>
      <w:vertAlign w:val="superscript"/>
    </w:rPr>
  </w:style>
  <w:style w:type="paragraph" w:styleId="ac">
    <w:name w:val="Normal (Web)"/>
    <w:basedOn w:val="a"/>
    <w:uiPriority w:val="99"/>
    <w:unhideWhenUsed/>
    <w:rsid w:val="00B7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80937"/>
    <w:rPr>
      <w:color w:val="574DF7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8A14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143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143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14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143D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A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143D"/>
    <w:rPr>
      <w:rFonts w:ascii="Segoe UI" w:hAnsi="Segoe UI" w:cs="Segoe UI"/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8B1A0C"/>
    <w:rPr>
      <w:color w:val="9A95CE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C93"/>
  </w:style>
  <w:style w:type="paragraph" w:styleId="a5">
    <w:name w:val="footer"/>
    <w:basedOn w:val="a"/>
    <w:link w:val="a6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C93"/>
  </w:style>
  <w:style w:type="paragraph" w:styleId="a7">
    <w:name w:val="List Paragraph"/>
    <w:basedOn w:val="a"/>
    <w:uiPriority w:val="34"/>
    <w:qFormat/>
    <w:rsid w:val="00B70F00"/>
    <w:pPr>
      <w:spacing w:after="40" w:line="360" w:lineRule="auto"/>
      <w:ind w:left="720"/>
      <w:contextualSpacing/>
    </w:pPr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B70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B70F0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70F00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70F00"/>
    <w:rPr>
      <w:vertAlign w:val="superscript"/>
    </w:rPr>
  </w:style>
  <w:style w:type="paragraph" w:styleId="ac">
    <w:name w:val="Normal (Web)"/>
    <w:basedOn w:val="a"/>
    <w:uiPriority w:val="99"/>
    <w:unhideWhenUsed/>
    <w:rsid w:val="00B7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80937"/>
    <w:rPr>
      <w:color w:val="574DF7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8A14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143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143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14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143D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A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143D"/>
    <w:rPr>
      <w:rFonts w:ascii="Segoe UI" w:hAnsi="Segoe UI" w:cs="Segoe UI"/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8B1A0C"/>
    <w:rPr>
      <w:color w:val="9A95C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ass.ru/ekonomika/18751711?utm_source=rfinanc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88450051711796E-2"/>
          <c:y val="2.8548691029005976E-2"/>
          <c:w val="0.86672200457701409"/>
          <c:h val="0.747869641294838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инвестиций, млрд руб.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9704433497536944E-3"/>
                  <c:y val="3.3630401883301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49F-4BAB-BC16-6522EC1BFD5C}"/>
                </c:ext>
              </c:extLst>
            </c:dLbl>
            <c:numFmt formatCode="#,##0.0" sourceLinked="0"/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Лист1!$B$2:$B$7</c:f>
              <c:numCache>
                <c:formatCode>0.0</c:formatCode>
                <c:ptCount val="6"/>
                <c:pt idx="0">
                  <c:v>252.99223000000001</c:v>
                </c:pt>
                <c:pt idx="1">
                  <c:v>255.67479999999998</c:v>
                </c:pt>
                <c:pt idx="2">
                  <c:v>298.60640000000001</c:v>
                </c:pt>
                <c:pt idx="3">
                  <c:v>327.63840000000005</c:v>
                </c:pt>
                <c:pt idx="4">
                  <c:v>414.71530000000001</c:v>
                </c:pt>
                <c:pt idx="5">
                  <c:v>579.90700000000004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23-4F68-8348-7EA9A09BD3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47"/>
        <c:axId val="85421056"/>
        <c:axId val="63030976"/>
      </c:barChart>
      <c:lineChart>
        <c:grouping val="standard"/>
        <c:varyColors val="0"/>
        <c:ser>
          <c:idx val="2"/>
          <c:order val="1"/>
          <c:tx>
            <c:strRef>
              <c:f>Лист1!$D$1</c:f>
              <c:strCache>
                <c:ptCount val="1"/>
                <c:pt idx="0">
                  <c:v>ИФО, %</c:v>
                </c:pt>
              </c:strCache>
            </c:strRef>
          </c:tx>
          <c:spPr>
            <a:ln w="28575" cmpd="sng">
              <a:solidFill>
                <a:schemeClr val="accent6">
                  <a:lumMod val="75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/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</c:marker>
          <c:dLbls>
            <c:dLbl>
              <c:idx val="0"/>
              <c:numFmt formatCode="#,##0.0" sourceLinked="0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900" b="1" i="0">
                      <a:solidFill>
                        <a:schemeClr val="accent4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5402816027306931E-2"/>
                  <c:y val="-5.7751832745044862E-2"/>
                </c:manualLayout>
              </c:layout>
              <c:numFmt formatCode="#,##0.0" sourceLinked="0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900" b="1" i="0">
                      <a:solidFill>
                        <a:schemeClr val="accent4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B23-4F68-8348-7EA9A09BD39B}"/>
                </c:ext>
              </c:extLst>
            </c:dLbl>
            <c:dLbl>
              <c:idx val="2"/>
              <c:layout>
                <c:manualLayout>
                  <c:x val="-3.3251309103603501E-2"/>
                  <c:y val="-4.766273058232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B23-4F68-8348-7EA9A09BD39B}"/>
                </c:ext>
              </c:extLst>
            </c:dLbl>
            <c:dLbl>
              <c:idx val="3"/>
              <c:numFmt formatCode="#,##0.0" sourceLinked="0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900" b="1" i="0">
                      <a:solidFill>
                        <a:schemeClr val="accent4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900" b="1" i="0">
                    <a:solidFill>
                      <a:srgbClr val="00B05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85.3</c:v>
                </c:pt>
                <c:pt idx="1">
                  <c:v>95.3</c:v>
                </c:pt>
                <c:pt idx="2">
                  <c:v>100.9</c:v>
                </c:pt>
                <c:pt idx="3">
                  <c:v>94.2</c:v>
                </c:pt>
                <c:pt idx="4">
                  <c:v>115.9</c:v>
                </c:pt>
                <c:pt idx="5">
                  <c:v>126.4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FB23-4F68-8348-7EA9A09BD3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438464"/>
        <c:axId val="63031552"/>
      </c:lineChart>
      <c:catAx>
        <c:axId val="85421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CDCDD1"/>
            </a:solidFill>
          </a:ln>
        </c:spPr>
        <c:txPr>
          <a:bodyPr/>
          <a:lstStyle/>
          <a:p>
            <a:pPr>
              <a:defRPr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3030976"/>
        <c:crossesAt val="0"/>
        <c:auto val="1"/>
        <c:lblAlgn val="ctr"/>
        <c:lblOffset val="100"/>
        <c:noMultiLvlLbl val="0"/>
      </c:catAx>
      <c:valAx>
        <c:axId val="63030976"/>
        <c:scaling>
          <c:orientation val="minMax"/>
          <c:min val="0"/>
        </c:scaling>
        <c:delete val="0"/>
        <c:axPos val="l"/>
        <c:numFmt formatCode="0" sourceLinked="0"/>
        <c:majorTickMark val="none"/>
        <c:minorTickMark val="none"/>
        <c:tickLblPos val="low"/>
        <c:spPr>
          <a:ln w="0">
            <a:solidFill>
              <a:schemeClr val="bg1"/>
            </a:solidFill>
          </a:ln>
        </c:spPr>
        <c:txPr>
          <a:bodyPr/>
          <a:lstStyle/>
          <a:p>
            <a:pPr>
              <a:defRPr>
                <a:solidFill>
                  <a:schemeClr val="bg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5421056"/>
        <c:crosses val="autoZero"/>
        <c:crossBetween val="between"/>
        <c:majorUnit val="200"/>
        <c:minorUnit val="200"/>
      </c:valAx>
      <c:valAx>
        <c:axId val="63031552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spPr>
          <a:ln>
            <a:solidFill>
              <a:schemeClr val="bg1"/>
            </a:solidFill>
          </a:ln>
        </c:spPr>
        <c:txPr>
          <a:bodyPr/>
          <a:lstStyle/>
          <a:p>
            <a:pPr>
              <a:defRPr>
                <a:solidFill>
                  <a:schemeClr val="bg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5438464"/>
        <c:crosses val="max"/>
        <c:crossBetween val="between"/>
        <c:majorUnit val="0.2"/>
      </c:valAx>
      <c:catAx>
        <c:axId val="854384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303155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4202133354020403"/>
          <c:y val="0.8816690504509116"/>
          <c:w val="0.49348993444784917"/>
          <c:h val="7.904307372668283E-2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3175"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4659047473434755E-2"/>
          <c:y val="7.6671490830001387E-3"/>
          <c:w val="0.94311655777904535"/>
          <c:h val="0.806111357742003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Доля от общего объема инвестиций в 2023 году, %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5.6011949215832666E-3"/>
                  <c:y val="-6.92290318309621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A74-4B1E-8E3C-07D2E465B0E6}"/>
                </c:ext>
              </c:extLst>
            </c:dLbl>
            <c:dLbl>
              <c:idx val="2"/>
              <c:layout>
                <c:manualLayout>
                  <c:x val="-1.7650379587540355E-3"/>
                  <c:y val="-2.2083070476724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A74-4B1E-8E3C-07D2E465B0E6}"/>
                </c:ext>
              </c:extLst>
            </c:dLbl>
            <c:dLbl>
              <c:idx val="3"/>
              <c:layout>
                <c:manualLayout>
                  <c:x val="-3.7048743626986879E-3"/>
                  <c:y val="7.73828505081718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423-4BF3-9B7E-FE7EB9BB5CAB}"/>
                </c:ext>
              </c:extLst>
            </c:dLbl>
            <c:dLbl>
              <c:idx val="8"/>
              <c:layout>
                <c:manualLayout>
                  <c:x val="1.8670649738610904E-3"/>
                  <c:y val="1.0230179028132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423-4BF3-9B7E-FE7EB9BB5CAB}"/>
                </c:ext>
              </c:extLst>
            </c:dLbl>
            <c:dLbl>
              <c:idx val="10"/>
              <c:layout>
                <c:manualLayout>
                  <c:x val="-3.8624722880514066E-3"/>
                  <c:y val="6.9228106611282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A74-4B1E-8E3C-07D2E465B0E6}"/>
                </c:ext>
              </c:extLst>
            </c:dLbl>
            <c:dLbl>
              <c:idx val="12"/>
              <c:layout>
                <c:manualLayout>
                  <c:x val="-1.9954073141902817E-3"/>
                  <c:y val="6.9228106611282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423-4BF3-9B7E-FE7EB9BB5CA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18.3</c:v>
                </c:pt>
                <c:pt idx="1">
                  <c:v>19.100000000000001</c:v>
                </c:pt>
                <c:pt idx="2">
                  <c:v>10.8</c:v>
                </c:pt>
                <c:pt idx="3">
                  <c:v>4.5</c:v>
                </c:pt>
                <c:pt idx="4">
                  <c:v>6.9</c:v>
                </c:pt>
                <c:pt idx="5">
                  <c:v>7.6</c:v>
                </c:pt>
                <c:pt idx="6">
                  <c:v>8.1</c:v>
                </c:pt>
                <c:pt idx="7">
                  <c:v>5.9</c:v>
                </c:pt>
                <c:pt idx="8">
                  <c:v>6.7</c:v>
                </c:pt>
                <c:pt idx="9">
                  <c:v>2.5</c:v>
                </c:pt>
                <c:pt idx="10">
                  <c:v>2.5</c:v>
                </c:pt>
                <c:pt idx="11">
                  <c:v>1.5</c:v>
                </c:pt>
                <c:pt idx="12">
                  <c:v>5.5999999999999943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A74-4B1E-8E3C-07D2E465B0E6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Доля от общего объема инвестиций в 2024 году, %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6609527617860399E-3"/>
                  <c:y val="1.4860603483754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A74-4B1E-8E3C-07D2E465B0E6}"/>
                </c:ext>
              </c:extLst>
            </c:dLbl>
            <c:dLbl>
              <c:idx val="2"/>
              <c:layout>
                <c:manualLayout>
                  <c:x val="5.6011949215832536E-3"/>
                  <c:y val="6.9228106611283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A74-4B1E-8E3C-07D2E465B0E6}"/>
                </c:ext>
              </c:extLst>
            </c:dLbl>
            <c:dLbl>
              <c:idx val="3"/>
              <c:layout>
                <c:manualLayout>
                  <c:x val="3.7619629097164643E-3"/>
                  <c:y val="6.9228106611283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423-4BF3-9B7E-FE7EB9BB5CAB}"/>
                </c:ext>
              </c:extLst>
            </c:dLbl>
            <c:dLbl>
              <c:idx val="10"/>
              <c:layout>
                <c:manualLayout>
                  <c:x val="1.9442467936466525E-3"/>
                  <c:y val="6.83177842645058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3BE-40F4-BE19-C960880EBBB3}"/>
                </c:ext>
              </c:extLst>
            </c:dLbl>
            <c:dLbl>
              <c:idx val="12"/>
              <c:layout>
                <c:manualLayout>
                  <c:x val="1.8670649738610904E-3"/>
                  <c:y val="6.9228106611282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423-4BF3-9B7E-FE7EB9BB5CA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22.3</c:v>
                </c:pt>
                <c:pt idx="1">
                  <c:v>12.7</c:v>
                </c:pt>
                <c:pt idx="2">
                  <c:v>10.5</c:v>
                </c:pt>
                <c:pt idx="3">
                  <c:v>7.7</c:v>
                </c:pt>
                <c:pt idx="4">
                  <c:v>6.9</c:v>
                </c:pt>
                <c:pt idx="5">
                  <c:v>6.8</c:v>
                </c:pt>
                <c:pt idx="6">
                  <c:v>5.8</c:v>
                </c:pt>
                <c:pt idx="7">
                  <c:v>5.7</c:v>
                </c:pt>
                <c:pt idx="8">
                  <c:v>5</c:v>
                </c:pt>
                <c:pt idx="9">
                  <c:v>3.9</c:v>
                </c:pt>
                <c:pt idx="10">
                  <c:v>3.3</c:v>
                </c:pt>
                <c:pt idx="11">
                  <c:v>3.1</c:v>
                </c:pt>
                <c:pt idx="12">
                  <c:v>6.2999999999999972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FA74-4B1E-8E3C-07D2E465B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1"/>
        <c:axId val="99423232"/>
        <c:axId val="63034432"/>
      </c:barChart>
      <c:lineChart>
        <c:grouping val="standard"/>
        <c:varyColors val="0"/>
        <c:ser>
          <c:idx val="2"/>
          <c:order val="2"/>
          <c:tx>
            <c:strRef>
              <c:f>Лист1!$E$1</c:f>
              <c:strCache>
                <c:ptCount val="1"/>
                <c:pt idx="0">
                  <c:v>ИФО, %</c:v>
                </c:pt>
              </c:strCache>
            </c:strRef>
          </c:tx>
          <c:spPr>
            <a:ln w="28575" cap="rnd" cmpd="sng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dLbls>
            <c:dLbl>
              <c:idx val="1"/>
              <c:numFmt formatCode="#,##0.0" sourceLinked="0"/>
              <c:spPr>
                <a:solidFill>
                  <a:srgbClr val="FFFFFF">
                    <a:alpha val="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2412394959218632E-2"/>
                  <c:y val="-4.9033544397454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423-4BF3-9B7E-FE7EB9BB5CAB}"/>
                </c:ext>
              </c:extLst>
            </c:dLbl>
            <c:dLbl>
              <c:idx val="6"/>
              <c:numFmt formatCode="#,##0.0" sourceLinked="0"/>
              <c:spPr>
                <a:solidFill>
                  <a:srgbClr val="FFFFFF">
                    <a:alpha val="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numFmt formatCode="#,##0.0" sourceLinked="0"/>
              <c:spPr>
                <a:solidFill>
                  <a:srgbClr val="FFFFFF">
                    <a:alpha val="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6654307774635103E-2"/>
                  <c:y val="-5.88652382843835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423-4BF3-9B7E-FE7EB9BB5CAB}"/>
                </c:ext>
              </c:extLst>
            </c:dLbl>
            <c:numFmt formatCode="#,##0.0" sourceLinked="0"/>
            <c:spPr>
              <a:solidFill>
                <a:srgbClr val="FFFFFF">
                  <a:alpha val="0"/>
                </a:srgb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B05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150</c:v>
                </c:pt>
                <c:pt idx="1">
                  <c:v>89.2</c:v>
                </c:pt>
                <c:pt idx="2">
                  <c:v>126.9</c:v>
                </c:pt>
                <c:pt idx="3">
                  <c:v>220</c:v>
                </c:pt>
                <c:pt idx="4">
                  <c:v>131.80000000000001</c:v>
                </c:pt>
                <c:pt idx="5">
                  <c:v>116.1</c:v>
                </c:pt>
                <c:pt idx="6">
                  <c:v>93.7</c:v>
                </c:pt>
                <c:pt idx="7">
                  <c:v>126.9</c:v>
                </c:pt>
                <c:pt idx="8">
                  <c:v>96.6</c:v>
                </c:pt>
                <c:pt idx="9">
                  <c:v>200</c:v>
                </c:pt>
                <c:pt idx="10">
                  <c:v>170</c:v>
                </c:pt>
                <c:pt idx="11">
                  <c:v>270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FA74-4B1E-8E3C-07D2E465B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420032"/>
        <c:axId val="63035008"/>
      </c:lineChart>
      <c:valAx>
        <c:axId val="63034432"/>
        <c:scaling>
          <c:orientation val="minMax"/>
          <c:max val="35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423232"/>
        <c:crosses val="max"/>
        <c:crossBetween val="between"/>
      </c:valAx>
      <c:catAx>
        <c:axId val="9942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3034432"/>
        <c:crosses val="autoZero"/>
        <c:auto val="0"/>
        <c:lblAlgn val="ctr"/>
        <c:lblOffset val="100"/>
        <c:noMultiLvlLbl val="0"/>
      </c:catAx>
      <c:valAx>
        <c:axId val="63035008"/>
        <c:scaling>
          <c:orientation val="minMax"/>
          <c:max val="490"/>
          <c:min val="-9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420032"/>
        <c:crosses val="autoZero"/>
        <c:crossBetween val="between"/>
      </c:valAx>
      <c:catAx>
        <c:axId val="854200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3035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8920807042510378E-3"/>
          <c:y val="0.88411650589712076"/>
          <c:w val="0.99014983563947701"/>
          <c:h val="0.11588349410287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393177421156936E-2"/>
          <c:y val="2.0584301576262197E-2"/>
          <c:w val="0.9393824278313232"/>
          <c:h val="0.721061411486627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Доля от объема инвестиций в обробатывающие производства в 2023 году, %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250138420704282E-3"/>
                  <c:y val="2.14869682364438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9C8-498D-82D0-C947937F070E}"/>
                </c:ext>
              </c:extLst>
            </c:dLbl>
            <c:dLbl>
              <c:idx val="1"/>
              <c:layout>
                <c:manualLayout>
                  <c:x val="-3.4202039713850736E-3"/>
                  <c:y val="1.088160768044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9C8-498D-82D0-C947937F070E}"/>
                </c:ext>
              </c:extLst>
            </c:dLbl>
            <c:dLbl>
              <c:idx val="2"/>
              <c:layout>
                <c:manualLayout>
                  <c:x val="-3.4983535058770706E-17"/>
                  <c:y val="-7.549154435885851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1A0-4F1B-9EDA-59DB89E58A69}"/>
                </c:ext>
              </c:extLst>
            </c:dLbl>
            <c:dLbl>
              <c:idx val="3"/>
              <c:layout>
                <c:manualLayout>
                  <c:x val="0"/>
                  <c:y val="-4.11776816965204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9C8-498D-82D0-C947937F070E}"/>
                </c:ext>
              </c:extLst>
            </c:dLbl>
            <c:dLbl>
              <c:idx val="4"/>
              <c:layout>
                <c:manualLayout>
                  <c:x val="1.908214864993798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9C8-498D-82D0-C947937F070E}"/>
                </c:ext>
              </c:extLst>
            </c:dLbl>
            <c:dLbl>
              <c:idx val="11"/>
              <c:layout>
                <c:manualLayout>
                  <c:x val="-4.8081004473684019E-6"/>
                  <c:y val="6.92271403072762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95B-464B-B18E-5A387338B5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Лист1!$C$2:$C$13</c:f>
              <c:numCache>
                <c:formatCode>0.0</c:formatCode>
                <c:ptCount val="12"/>
                <c:pt idx="0">
                  <c:v>17.592592592592592</c:v>
                </c:pt>
                <c:pt idx="1">
                  <c:v>12.962962962962962</c:v>
                </c:pt>
                <c:pt idx="2">
                  <c:v>13.888888888888888</c:v>
                </c:pt>
                <c:pt idx="3">
                  <c:v>9.2592592592592595</c:v>
                </c:pt>
                <c:pt idx="4">
                  <c:v>4.6296296296296298</c:v>
                </c:pt>
                <c:pt idx="5">
                  <c:v>3.7037037037037033</c:v>
                </c:pt>
                <c:pt idx="6">
                  <c:v>5.5555555555555554</c:v>
                </c:pt>
                <c:pt idx="7">
                  <c:v>3.7037037037037033</c:v>
                </c:pt>
                <c:pt idx="8">
                  <c:v>5.5555555555555554</c:v>
                </c:pt>
                <c:pt idx="9">
                  <c:v>4.6296296296296298</c:v>
                </c:pt>
                <c:pt idx="10">
                  <c:v>1.8518518518518516</c:v>
                </c:pt>
                <c:pt idx="11">
                  <c:v>16.666666666666671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9C8-498D-82D0-C947937F070E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Доля от объема инвестиций в обробатывающие производства в 2024 году,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5575435715321387E-3"/>
                  <c:y val="-8.5331828888899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F9C8-498D-82D0-C947937F070E}"/>
                </c:ext>
              </c:extLst>
            </c:dLbl>
            <c:dLbl>
              <c:idx val="1"/>
              <c:layout>
                <c:manualLayout>
                  <c:x val="1.70837819015604E-4"/>
                  <c:y val="4.117768169651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C-F9C8-498D-82D0-C947937F070E}"/>
                </c:ext>
              </c:extLst>
            </c:dLbl>
            <c:dLbl>
              <c:idx val="4"/>
              <c:layout>
                <c:manualLayout>
                  <c:x val="-1.9082148649937983E-3"/>
                  <c:y val="4.117768169651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F9C8-498D-82D0-C947937F070E}"/>
                </c:ext>
              </c:extLst>
            </c:dLbl>
            <c:dLbl>
              <c:idx val="11"/>
              <c:layout>
                <c:manualLayout>
                  <c:x val="0"/>
                  <c:y val="4.11776816965189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95B-464B-B18E-5A387338B5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Лист1!$D$2:$D$13</c:f>
              <c:numCache>
                <c:formatCode>0.0</c:formatCode>
                <c:ptCount val="12"/>
                <c:pt idx="0">
                  <c:v>15.238095238095239</c:v>
                </c:pt>
                <c:pt idx="1">
                  <c:v>14.285714285714285</c:v>
                </c:pt>
                <c:pt idx="2">
                  <c:v>11.428571428571429</c:v>
                </c:pt>
                <c:pt idx="3">
                  <c:v>10.476190476190476</c:v>
                </c:pt>
                <c:pt idx="4">
                  <c:v>7.6190476190476195</c:v>
                </c:pt>
                <c:pt idx="5">
                  <c:v>6.666666666666667</c:v>
                </c:pt>
                <c:pt idx="6">
                  <c:v>5.7142857142857144</c:v>
                </c:pt>
                <c:pt idx="7">
                  <c:v>4.7619047619047619</c:v>
                </c:pt>
                <c:pt idx="8">
                  <c:v>3.8095238095238098</c:v>
                </c:pt>
                <c:pt idx="9">
                  <c:v>3.8095238095238098</c:v>
                </c:pt>
                <c:pt idx="10">
                  <c:v>2.8571428571428572</c:v>
                </c:pt>
                <c:pt idx="11">
                  <c:v>13.333333333333329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F9C8-498D-82D0-C947937F07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1"/>
        <c:axId val="99504640"/>
        <c:axId val="132449408"/>
      </c:barChart>
      <c:lineChart>
        <c:grouping val="standard"/>
        <c:varyColors val="0"/>
        <c:ser>
          <c:idx val="2"/>
          <c:order val="2"/>
          <c:tx>
            <c:strRef>
              <c:f>Лист1!$E$1</c:f>
              <c:strCache>
                <c:ptCount val="1"/>
                <c:pt idx="0">
                  <c:v>ИФО, %</c:v>
                </c:pt>
              </c:strCache>
            </c:strRef>
          </c:tx>
          <c:spPr>
            <a:ln w="28575" cap="rnd" cmpd="sng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5127380854895286E-2"/>
                  <c:y val="-4.7761895729679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2-F9C8-498D-82D0-C947937F070E}"/>
                </c:ext>
              </c:extLst>
            </c:dLbl>
            <c:dLbl>
              <c:idx val="1"/>
              <c:layout>
                <c:manualLayout>
                  <c:x val="-3.3386247480442693E-2"/>
                  <c:y val="-4.77618957296798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C1E-45FA-BDDD-0342137E579B}"/>
                </c:ext>
              </c:extLst>
            </c:dLbl>
            <c:dLbl>
              <c:idx val="5"/>
              <c:layout>
                <c:manualLayout>
                  <c:x val="-2.9569817750455078E-2"/>
                  <c:y val="-4.117768169652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377-4174-A97E-82F5C806DF53}"/>
                </c:ext>
              </c:extLst>
            </c:dLbl>
            <c:dLbl>
              <c:idx val="8"/>
              <c:numFmt formatCode="#,##0.0" sourceLinked="0"/>
              <c:spPr>
                <a:solidFill>
                  <a:srgbClr val="FFFFFF">
                    <a:alpha val="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numFmt formatCode="#,##0.0" sourceLinked="0"/>
              <c:spPr>
                <a:solidFill>
                  <a:srgbClr val="FFFFFF">
                    <a:alpha val="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solidFill>
                <a:srgbClr val="FFFFFF">
                  <a:alpha val="0"/>
                </a:srgb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00B05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108.5</c:v>
                </c:pt>
                <c:pt idx="1">
                  <c:v>138.19999999999999</c:v>
                </c:pt>
                <c:pt idx="2">
                  <c:v>110.2</c:v>
                </c:pt>
                <c:pt idx="3">
                  <c:v>139.69999999999999</c:v>
                </c:pt>
                <c:pt idx="4" formatCode="0.0">
                  <c:v>200</c:v>
                </c:pt>
                <c:pt idx="5" formatCode="0.0">
                  <c:v>210</c:v>
                </c:pt>
                <c:pt idx="6">
                  <c:v>140.1</c:v>
                </c:pt>
                <c:pt idx="7" formatCode="0.0">
                  <c:v>160</c:v>
                </c:pt>
                <c:pt idx="8">
                  <c:v>72.099999999999994</c:v>
                </c:pt>
                <c:pt idx="9">
                  <c:v>87.4</c:v>
                </c:pt>
                <c:pt idx="10">
                  <c:v>141.5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B-F9C8-498D-82D0-C947937F07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438976"/>
        <c:axId val="132449984"/>
      </c:lineChart>
      <c:valAx>
        <c:axId val="132449408"/>
        <c:scaling>
          <c:orientation val="minMax"/>
          <c:max val="35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504640"/>
        <c:crosses val="max"/>
        <c:crossBetween val="between"/>
      </c:valAx>
      <c:catAx>
        <c:axId val="9950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449408"/>
        <c:crosses val="autoZero"/>
        <c:auto val="0"/>
        <c:lblAlgn val="ctr"/>
        <c:lblOffset val="100"/>
        <c:noMultiLvlLbl val="0"/>
      </c:catAx>
      <c:valAx>
        <c:axId val="132449984"/>
        <c:scaling>
          <c:orientation val="minMax"/>
          <c:min val="-15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438976"/>
        <c:crosses val="autoZero"/>
        <c:crossBetween val="between"/>
      </c:valAx>
      <c:catAx>
        <c:axId val="85438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24499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3291069468694423"/>
          <c:w val="0.99888902829041226"/>
          <c:h val="0.145193154129359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457789840987843E-2"/>
          <c:y val="2.4933522653930548E-2"/>
          <c:w val="0.45240572295768866"/>
          <c:h val="0.9148533923801769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собственные средства предприятий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64.5</c:v>
                </c:pt>
                <c:pt idx="1">
                  <c:v>62.2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CB-40EA-941F-9F2C414C8FA7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бюджетные средства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100" b="1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17.7</c:v>
                </c:pt>
                <c:pt idx="1">
                  <c:v>19.8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CCB-40EA-941F-9F2C414C8FA7}"/>
            </c:ext>
          </c:extLst>
        </c:ser>
        <c:ser>
          <c:idx val="3"/>
          <c:order val="2"/>
          <c:tx>
            <c:strRef>
              <c:f>Лист1!$A$4</c:f>
              <c:strCache>
                <c:ptCount val="1"/>
                <c:pt idx="0">
                  <c:v>кредиты банков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4.9965084639649402E-5"/>
                  <c:y val="-1.919582537389926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CCB-40EA-941F-9F2C414C8FA7}"/>
                </c:ext>
              </c:extLst>
            </c:dLbl>
            <c:dLbl>
              <c:idx val="1"/>
              <c:layout>
                <c:manualLayout>
                  <c:x val="-5.1018565339953052E-5"/>
                  <c:y val="1.90535085750106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CCB-40EA-941F-9F2C414C8F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10.3</c:v>
                </c:pt>
                <c:pt idx="1">
                  <c:v>9.3000000000000007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CCB-40EA-941F-9F2C414C8FA7}"/>
            </c:ext>
          </c:extLst>
        </c:ser>
        <c:ser>
          <c:idx val="4"/>
          <c:order val="3"/>
          <c:tx>
            <c:strRef>
              <c:f>Лист1!$A$5</c:f>
              <c:strCache>
                <c:ptCount val="1"/>
                <c:pt idx="0">
                  <c:v>заемные средства других организаций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1.7718441461627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AB3-4054-83DA-DCD225D73397}"/>
                </c:ext>
              </c:extLst>
            </c:dLbl>
            <c:dLbl>
              <c:idx val="1"/>
              <c:layout>
                <c:manualLayout>
                  <c:x val="0"/>
                  <c:y val="-2.23689567177368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AB3-4054-83DA-DCD225D733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2.8</c:v>
                </c:pt>
                <c:pt idx="1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CCB-40EA-941F-9F2C414C8FA7}"/>
            </c:ext>
          </c:extLst>
        </c:ser>
        <c:ser>
          <c:idx val="5"/>
          <c:order val="4"/>
          <c:tx>
            <c:strRef>
              <c:f>Лист1!$A$6</c:f>
              <c:strCache>
                <c:ptCount val="1"/>
                <c:pt idx="0">
                  <c:v>средства внебюджетных фондов</c:v>
                </c:pt>
              </c:strCache>
            </c:strRef>
          </c:tx>
          <c:spPr>
            <a:solidFill>
              <a:srgbClr val="AFD7FF"/>
            </a:solidFill>
          </c:spPr>
          <c:invertIfNegative val="0"/>
          <c:dLbls>
            <c:dLbl>
              <c:idx val="0"/>
              <c:layout>
                <c:manualLayout>
                  <c:x val="0.10703363914373085"/>
                  <c:y val="8.60680561209798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CCB-40EA-941F-9F2C414C8FA7}"/>
                </c:ext>
              </c:extLst>
            </c:dLbl>
            <c:dLbl>
              <c:idx val="1"/>
              <c:layout>
                <c:manualLayout>
                  <c:x val="0.10703363914373089"/>
                  <c:y val="1.2910208418146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CCB-40EA-941F-9F2C414C8F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Лист1!$B$6:$C$6</c:f>
              <c:numCache>
                <c:formatCode>0.0</c:formatCode>
                <c:ptCount val="2"/>
                <c:pt idx="0">
                  <c:v>0.1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CCB-40EA-941F-9F2C414C8FA7}"/>
            </c:ext>
          </c:extLst>
        </c:ser>
        <c:ser>
          <c:idx val="6"/>
          <c:order val="5"/>
          <c:tx>
            <c:strRef>
              <c:f>Лист1!$A$7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4.921259842519685E-5"/>
                  <c:y val="-3.2266584583610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5CCB-40EA-941F-9F2C414C8FA7}"/>
                </c:ext>
              </c:extLst>
            </c:dLbl>
            <c:dLbl>
              <c:idx val="1"/>
              <c:layout>
                <c:manualLayout>
                  <c:x val="-6.7723759300729612E-6"/>
                  <c:y val="-5.520747485378955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5CCB-40EA-941F-9F2C414C8F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Лист1!$B$7:$C$7</c:f>
              <c:numCache>
                <c:formatCode>General</c:formatCode>
                <c:ptCount val="2"/>
                <c:pt idx="0">
                  <c:v>4.6000000000000085</c:v>
                </c:pt>
                <c:pt idx="1">
                  <c:v>5.2000000000000028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CCB-40EA-941F-9F2C414C8F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85441024"/>
        <c:axId val="132452288"/>
      </c:barChart>
      <c:catAx>
        <c:axId val="85441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2452288"/>
        <c:crosses val="autoZero"/>
        <c:auto val="1"/>
        <c:lblAlgn val="ctr"/>
        <c:lblOffset val="100"/>
        <c:noMultiLvlLbl val="0"/>
      </c:catAx>
      <c:valAx>
        <c:axId val="132452288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85441024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62844036697247707"/>
          <c:y val="0.20697083734646665"/>
          <c:w val="0.33906727828746175"/>
          <c:h val="0.58416878094649138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020389109862002E-2"/>
          <c:y val="2.3291272344900107E-2"/>
          <c:w val="0.93930102196314158"/>
          <c:h val="0.613216920440150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машины и оборудование,
включая хоз. инвентарь
и др. объекты</c:v>
                </c:pt>
                <c:pt idx="1">
                  <c:v>здания (кроме жилых),
сооружения, расходы
на улучшение земель</c:v>
                </c:pt>
                <c:pt idx="2">
                  <c:v>жилые здания
 и помещения</c:v>
                </c:pt>
                <c:pt idx="3">
                  <c:v>объекты интеллектуальной
собственности </c:v>
                </c:pt>
                <c:pt idx="4">
                  <c:v>прочие инвестиции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49.7</c:v>
                </c:pt>
                <c:pt idx="1">
                  <c:v>28.1</c:v>
                </c:pt>
                <c:pt idx="2">
                  <c:v>12.9</c:v>
                </c:pt>
                <c:pt idx="3">
                  <c:v>7.5</c:v>
                </c:pt>
                <c:pt idx="4">
                  <c:v>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24-46F1-A3DF-D9CEF14F49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машины и оборудование,
включая хоз. инвентарь
и др. объекты</c:v>
                </c:pt>
                <c:pt idx="1">
                  <c:v>здания (кроме жилых),
сооружения, расходы
на улучшение земель</c:v>
                </c:pt>
                <c:pt idx="2">
                  <c:v>жилые здания
 и помещения</c:v>
                </c:pt>
                <c:pt idx="3">
                  <c:v>объекты интеллектуальной
собственности </c:v>
                </c:pt>
                <c:pt idx="4">
                  <c:v>прочие инвестиции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53.2</c:v>
                </c:pt>
                <c:pt idx="1">
                  <c:v>29.2</c:v>
                </c:pt>
                <c:pt idx="2">
                  <c:v>8</c:v>
                </c:pt>
                <c:pt idx="3">
                  <c:v>8</c:v>
                </c:pt>
                <c:pt idx="4">
                  <c:v>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24-46F1-A3DF-D9CEF14F49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5"/>
        <c:overlap val="-5"/>
        <c:axId val="134507520"/>
        <c:axId val="132451136"/>
      </c:barChart>
      <c:catAx>
        <c:axId val="13450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451136"/>
        <c:crosses val="autoZero"/>
        <c:auto val="1"/>
        <c:lblAlgn val="ctr"/>
        <c:lblOffset val="100"/>
        <c:noMultiLvlLbl val="0"/>
      </c:catAx>
      <c:valAx>
        <c:axId val="13245113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50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563553453417536"/>
          <c:y val="0.91583223339857089"/>
          <c:w val="0.24480928369990007"/>
          <c:h val="8.41677666014291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ИАМ_ word">
  <a:themeElements>
    <a:clrScheme name="Другая 3">
      <a:dk1>
        <a:srgbClr val="292748"/>
      </a:dk1>
      <a:lt1>
        <a:srgbClr val="FEFFFF"/>
      </a:lt1>
      <a:dk2>
        <a:srgbClr val="16222C"/>
      </a:dk2>
      <a:lt2>
        <a:srgbClr val="FEFFFF"/>
      </a:lt2>
      <a:accent1>
        <a:srgbClr val="574DF7"/>
      </a:accent1>
      <a:accent2>
        <a:srgbClr val="22B7D8"/>
      </a:accent2>
      <a:accent3>
        <a:srgbClr val="C882E0"/>
      </a:accent3>
      <a:accent4>
        <a:srgbClr val="FC7875"/>
      </a:accent4>
      <a:accent5>
        <a:srgbClr val="5363BE"/>
      </a:accent5>
      <a:accent6>
        <a:srgbClr val="5C97FC"/>
      </a:accent6>
      <a:hlink>
        <a:srgbClr val="574DF7"/>
      </a:hlink>
      <a:folHlink>
        <a:srgbClr val="9A95CE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ИАМ_v1" id="{039DD1A6-BB4C-4224-8F7E-8C000E205543}" vid="{4BB0E12E-856A-4E32-859B-C70BE5B6CFF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7074B-06F4-4B2E-91F2-97110DB5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Максим Сергеевич</dc:creator>
  <cp:lastModifiedBy>UI01</cp:lastModifiedBy>
  <cp:revision>3</cp:revision>
  <cp:lastPrinted>2024-03-28T14:33:00Z</cp:lastPrinted>
  <dcterms:created xsi:type="dcterms:W3CDTF">2024-09-27T09:29:00Z</dcterms:created>
  <dcterms:modified xsi:type="dcterms:W3CDTF">2024-09-27T09:33:00Z</dcterms:modified>
</cp:coreProperties>
</file>