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4AB2" w14:textId="369E89B2" w:rsidR="008D4215" w:rsidRPr="008A143D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49790C7B" w14:textId="77777777" w:rsidR="008D4215" w:rsidRPr="000F4DA4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1EA0FCFF" w14:textId="77777777" w:rsidR="008D4215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2C10D999" w14:textId="22FDEF57" w:rsidR="0071352E" w:rsidRDefault="00B70F00" w:rsidP="0071352E">
      <w:pPr>
        <w:spacing w:before="480"/>
        <w:rPr>
          <w:color w:val="292748" w:themeColor="text1"/>
          <w:sz w:val="72"/>
          <w:szCs w:val="72"/>
        </w:rPr>
      </w:pPr>
      <w:r>
        <w:rPr>
          <w:color w:val="292748" w:themeColor="text1"/>
          <w:sz w:val="72"/>
          <w:szCs w:val="72"/>
        </w:rPr>
        <w:t xml:space="preserve">Инвестиционная деятельность в Санкт-Петербурге </w:t>
      </w:r>
      <w:r>
        <w:rPr>
          <w:color w:val="292748" w:themeColor="text1"/>
          <w:sz w:val="72"/>
          <w:szCs w:val="72"/>
        </w:rPr>
        <w:br/>
        <w:t>в</w:t>
      </w:r>
      <w:r w:rsidR="00792942">
        <w:rPr>
          <w:color w:val="292748" w:themeColor="text1"/>
          <w:sz w:val="72"/>
          <w:szCs w:val="72"/>
        </w:rPr>
        <w:t xml:space="preserve"> январе </w:t>
      </w:r>
      <w:r w:rsidR="00792942" w:rsidRPr="00792942">
        <w:rPr>
          <w:sz w:val="72"/>
          <w:szCs w:val="72"/>
        </w:rPr>
        <w:t>–</w:t>
      </w:r>
      <w:r w:rsidR="00792942">
        <w:rPr>
          <w:color w:val="292748" w:themeColor="text1"/>
          <w:sz w:val="72"/>
          <w:szCs w:val="72"/>
        </w:rPr>
        <w:t xml:space="preserve"> </w:t>
      </w:r>
      <w:r w:rsidR="00954590">
        <w:rPr>
          <w:color w:val="292748" w:themeColor="text1"/>
          <w:sz w:val="72"/>
          <w:szCs w:val="72"/>
        </w:rPr>
        <w:t>сентябре</w:t>
      </w:r>
      <w:r>
        <w:rPr>
          <w:color w:val="292748" w:themeColor="text1"/>
          <w:sz w:val="72"/>
          <w:szCs w:val="72"/>
        </w:rPr>
        <w:t> 202</w:t>
      </w:r>
      <w:r w:rsidR="00792942">
        <w:rPr>
          <w:color w:val="292748" w:themeColor="text1"/>
          <w:sz w:val="72"/>
          <w:szCs w:val="72"/>
        </w:rPr>
        <w:t>4</w:t>
      </w:r>
      <w:r>
        <w:rPr>
          <w:color w:val="292748" w:themeColor="text1"/>
          <w:sz w:val="72"/>
          <w:szCs w:val="72"/>
        </w:rPr>
        <w:t xml:space="preserve"> год</w:t>
      </w:r>
      <w:r w:rsidR="00792942">
        <w:rPr>
          <w:color w:val="292748" w:themeColor="text1"/>
          <w:sz w:val="72"/>
          <w:szCs w:val="72"/>
        </w:rPr>
        <w:t>а</w:t>
      </w:r>
    </w:p>
    <w:p w14:paraId="681441EE" w14:textId="521B8CA3" w:rsidR="0071352E" w:rsidRDefault="00B70F00" w:rsidP="0071352E">
      <w:pPr>
        <w:rPr>
          <w:sz w:val="28"/>
          <w:szCs w:val="28"/>
        </w:rPr>
      </w:pPr>
      <w:r>
        <w:rPr>
          <w:color w:val="292748" w:themeColor="text1"/>
          <w:sz w:val="44"/>
          <w:szCs w:val="44"/>
        </w:rPr>
        <w:t>аналитическая справка</w:t>
      </w:r>
      <w:r w:rsidR="0071352E">
        <w:rPr>
          <w:sz w:val="28"/>
          <w:szCs w:val="28"/>
        </w:rPr>
        <w:tab/>
      </w:r>
    </w:p>
    <w:p w14:paraId="2305806B" w14:textId="251C5214" w:rsidR="00B70F00" w:rsidRDefault="00B70F00" w:rsidP="0071352E">
      <w:pPr>
        <w:rPr>
          <w:sz w:val="28"/>
          <w:szCs w:val="28"/>
        </w:rPr>
      </w:pPr>
    </w:p>
    <w:p w14:paraId="4A858E80" w14:textId="00B8980D" w:rsidR="00B70F00" w:rsidRDefault="00B70F00" w:rsidP="0071352E">
      <w:pPr>
        <w:rPr>
          <w:sz w:val="28"/>
          <w:szCs w:val="28"/>
        </w:rPr>
      </w:pPr>
    </w:p>
    <w:p w14:paraId="44ADCC24" w14:textId="5A7D5B5E" w:rsidR="00B70F00" w:rsidRDefault="00B70F00" w:rsidP="0071352E">
      <w:pPr>
        <w:rPr>
          <w:sz w:val="28"/>
          <w:szCs w:val="28"/>
        </w:rPr>
      </w:pPr>
    </w:p>
    <w:p w14:paraId="162705BC" w14:textId="7213B5F1" w:rsidR="00B70F00" w:rsidRDefault="00B70F00" w:rsidP="0071352E">
      <w:pPr>
        <w:rPr>
          <w:sz w:val="28"/>
          <w:szCs w:val="28"/>
        </w:rPr>
      </w:pPr>
    </w:p>
    <w:p w14:paraId="7937C4AD" w14:textId="6B8110DD" w:rsidR="00B70F00" w:rsidRDefault="00B70F00" w:rsidP="0071352E">
      <w:pPr>
        <w:rPr>
          <w:sz w:val="28"/>
          <w:szCs w:val="28"/>
        </w:rPr>
      </w:pPr>
    </w:p>
    <w:p w14:paraId="5170DD67" w14:textId="71EAA0A4" w:rsidR="00B70F00" w:rsidRDefault="00B70F00" w:rsidP="0071352E">
      <w:pPr>
        <w:rPr>
          <w:sz w:val="28"/>
          <w:szCs w:val="28"/>
        </w:rPr>
      </w:pPr>
    </w:p>
    <w:p w14:paraId="5121A6D1" w14:textId="130987DB" w:rsidR="00B70F00" w:rsidRDefault="00B70F00" w:rsidP="0071352E">
      <w:pPr>
        <w:rPr>
          <w:sz w:val="28"/>
          <w:szCs w:val="28"/>
        </w:rPr>
      </w:pPr>
    </w:p>
    <w:p w14:paraId="6FAD8D8F" w14:textId="701C9F35" w:rsidR="00B70F00" w:rsidRDefault="00B70F00" w:rsidP="0071352E">
      <w:pPr>
        <w:rPr>
          <w:sz w:val="28"/>
          <w:szCs w:val="28"/>
        </w:rPr>
      </w:pPr>
    </w:p>
    <w:p w14:paraId="1514A2A0" w14:textId="53AF9D08" w:rsidR="00B70F00" w:rsidRDefault="00B70F00" w:rsidP="0071352E">
      <w:pPr>
        <w:rPr>
          <w:sz w:val="28"/>
          <w:szCs w:val="28"/>
        </w:rPr>
      </w:pPr>
    </w:p>
    <w:p w14:paraId="13280BA2" w14:textId="02530386" w:rsidR="00B70F00" w:rsidRDefault="00B70F00" w:rsidP="0071352E">
      <w:pPr>
        <w:rPr>
          <w:sz w:val="28"/>
          <w:szCs w:val="28"/>
        </w:rPr>
      </w:pPr>
    </w:p>
    <w:p w14:paraId="45BACB99" w14:textId="2A2194F6" w:rsidR="00B70F00" w:rsidRDefault="00B70F00" w:rsidP="0071352E">
      <w:pPr>
        <w:rPr>
          <w:sz w:val="28"/>
          <w:szCs w:val="28"/>
        </w:rPr>
      </w:pPr>
    </w:p>
    <w:p w14:paraId="655C6CD1" w14:textId="25C78AC2" w:rsidR="00B70F00" w:rsidRDefault="00B70F00" w:rsidP="0071352E">
      <w:pPr>
        <w:rPr>
          <w:sz w:val="28"/>
          <w:szCs w:val="28"/>
        </w:rPr>
      </w:pPr>
    </w:p>
    <w:p w14:paraId="7798CBDE" w14:textId="71656F01" w:rsidR="00B70F00" w:rsidRPr="00C732B0" w:rsidRDefault="00B70F00" w:rsidP="00904B9D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F36A9">
        <w:rPr>
          <w:b/>
          <w:sz w:val="24"/>
          <w:szCs w:val="24"/>
        </w:rPr>
        <w:lastRenderedPageBreak/>
        <w:t>1</w:t>
      </w:r>
      <w:r w:rsidRPr="00C732B0">
        <w:rPr>
          <w:b/>
          <w:sz w:val="24"/>
          <w:szCs w:val="24"/>
        </w:rPr>
        <w:t>. Инвестиции в основной капитал организаций</w:t>
      </w:r>
    </w:p>
    <w:p w14:paraId="3BD1EF3F" w14:textId="77777777" w:rsidR="00B70F00" w:rsidRPr="00C732B0" w:rsidRDefault="00B70F00" w:rsidP="00D640ED">
      <w:pPr>
        <w:spacing w:after="0" w:line="240" w:lineRule="auto"/>
        <w:ind w:firstLine="709"/>
        <w:jc w:val="both"/>
        <w:rPr>
          <w:b/>
          <w:sz w:val="10"/>
          <w:szCs w:val="10"/>
        </w:rPr>
      </w:pPr>
    </w:p>
    <w:p w14:paraId="7FD4176E" w14:textId="268607FE" w:rsidR="00B70F00" w:rsidRPr="003206E6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commentRangeStart w:id="0"/>
      <w:commentRangeStart w:id="1"/>
      <w:r w:rsidRPr="00C732B0">
        <w:rPr>
          <w:sz w:val="24"/>
          <w:szCs w:val="24"/>
        </w:rPr>
        <w:t xml:space="preserve">В </w:t>
      </w:r>
      <w:r w:rsidR="00CB3395">
        <w:rPr>
          <w:sz w:val="24"/>
          <w:szCs w:val="24"/>
        </w:rPr>
        <w:t>я</w:t>
      </w:r>
      <w:r w:rsidR="004D7EE0">
        <w:rPr>
          <w:sz w:val="24"/>
          <w:szCs w:val="24"/>
        </w:rPr>
        <w:t>н</w:t>
      </w:r>
      <w:r w:rsidR="00CB3395">
        <w:rPr>
          <w:sz w:val="24"/>
          <w:szCs w:val="24"/>
        </w:rPr>
        <w:t xml:space="preserve">варе </w:t>
      </w:r>
      <w:commentRangeEnd w:id="0"/>
      <w:r w:rsidR="00400B4C">
        <w:rPr>
          <w:rStyle w:val="ae"/>
        </w:rPr>
        <w:commentReference w:id="0"/>
      </w:r>
      <w:commentRangeEnd w:id="1"/>
      <w:r w:rsidR="004D7EE0">
        <w:rPr>
          <w:rStyle w:val="ae"/>
        </w:rPr>
        <w:commentReference w:id="1"/>
      </w:r>
      <w:r w:rsidR="00CB3395">
        <w:rPr>
          <w:sz w:val="24"/>
          <w:szCs w:val="24"/>
        </w:rPr>
        <w:t xml:space="preserve">– </w:t>
      </w:r>
      <w:r w:rsidR="00954590">
        <w:rPr>
          <w:sz w:val="24"/>
          <w:szCs w:val="24"/>
        </w:rPr>
        <w:t>сентябре</w:t>
      </w:r>
      <w:r w:rsidR="00CB3395">
        <w:rPr>
          <w:sz w:val="24"/>
          <w:szCs w:val="24"/>
        </w:rPr>
        <w:t xml:space="preserve"> </w:t>
      </w:r>
      <w:r w:rsidRPr="00C732B0">
        <w:rPr>
          <w:sz w:val="24"/>
          <w:szCs w:val="24"/>
        </w:rPr>
        <w:t>202</w:t>
      </w:r>
      <w:r w:rsidR="00CB3395">
        <w:rPr>
          <w:sz w:val="24"/>
          <w:szCs w:val="24"/>
        </w:rPr>
        <w:t>4</w:t>
      </w:r>
      <w:r w:rsidRPr="00C732B0">
        <w:rPr>
          <w:sz w:val="24"/>
          <w:szCs w:val="24"/>
        </w:rPr>
        <w:t xml:space="preserve"> год</w:t>
      </w:r>
      <w:r w:rsidR="00CB3395">
        <w:rPr>
          <w:sz w:val="24"/>
          <w:szCs w:val="24"/>
        </w:rPr>
        <w:t>а</w:t>
      </w:r>
      <w:r w:rsidRPr="00C732B0">
        <w:rPr>
          <w:sz w:val="24"/>
          <w:szCs w:val="24"/>
        </w:rPr>
        <w:t xml:space="preserve"> по полному кругу предприятий, ос</w:t>
      </w:r>
      <w:r w:rsidRPr="003206E6">
        <w:rPr>
          <w:sz w:val="24"/>
          <w:szCs w:val="24"/>
        </w:rPr>
        <w:t xml:space="preserve">уществляющих инвестиционную деятельность на территории Санкт-Петербурга, в экономику города </w:t>
      </w:r>
      <w:r w:rsidR="003D0366">
        <w:rPr>
          <w:sz w:val="24"/>
          <w:szCs w:val="24"/>
        </w:rPr>
        <w:t>вложено</w:t>
      </w:r>
      <w:r w:rsidRPr="003206E6">
        <w:rPr>
          <w:sz w:val="24"/>
          <w:szCs w:val="24"/>
        </w:rPr>
        <w:t xml:space="preserve"> </w:t>
      </w:r>
      <w:r w:rsidR="00954590">
        <w:rPr>
          <w:sz w:val="24"/>
          <w:szCs w:val="24"/>
        </w:rPr>
        <w:t xml:space="preserve">899,6 </w:t>
      </w:r>
      <w:r w:rsidRPr="003206E6">
        <w:rPr>
          <w:sz w:val="24"/>
          <w:szCs w:val="24"/>
        </w:rPr>
        <w:t>млрд руб. инвестиций в основной капитал за счет всех источников финансирования (рис. 1). Индекс физического объема (далее – ИФО), от</w:t>
      </w:r>
      <w:r w:rsidR="00F11A15">
        <w:rPr>
          <w:sz w:val="24"/>
          <w:szCs w:val="24"/>
        </w:rPr>
        <w:t xml:space="preserve">ражающий изменение инвестиций к </w:t>
      </w:r>
      <w:r w:rsidR="00B75F45">
        <w:rPr>
          <w:sz w:val="24"/>
          <w:szCs w:val="24"/>
        </w:rPr>
        <w:t>предыдущему</w:t>
      </w:r>
      <w:r w:rsidRPr="003206E6">
        <w:rPr>
          <w:sz w:val="24"/>
          <w:szCs w:val="24"/>
        </w:rPr>
        <w:t xml:space="preserve"> год</w:t>
      </w:r>
      <w:r w:rsidR="00B75F45">
        <w:rPr>
          <w:sz w:val="24"/>
          <w:szCs w:val="24"/>
        </w:rPr>
        <w:t xml:space="preserve">у </w:t>
      </w:r>
      <w:r w:rsidRPr="003206E6">
        <w:rPr>
          <w:sz w:val="24"/>
          <w:szCs w:val="24"/>
        </w:rPr>
        <w:t xml:space="preserve">в постоянных ценах, составил </w:t>
      </w:r>
      <w:r w:rsidR="00954590">
        <w:rPr>
          <w:sz w:val="24"/>
          <w:szCs w:val="24"/>
        </w:rPr>
        <w:t>119,3</w:t>
      </w:r>
      <w:r w:rsidRPr="003206E6">
        <w:rPr>
          <w:sz w:val="24"/>
          <w:szCs w:val="24"/>
        </w:rPr>
        <w:t>%.</w:t>
      </w:r>
    </w:p>
    <w:p w14:paraId="6DFD773F" w14:textId="32C44885" w:rsidR="00B70F00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3206E6">
        <w:rPr>
          <w:sz w:val="24"/>
          <w:szCs w:val="24"/>
        </w:rPr>
        <w:t xml:space="preserve">Объем инвестиций в основной капитал </w:t>
      </w:r>
      <w:r w:rsidRPr="003206E6">
        <w:rPr>
          <w:i/>
          <w:sz w:val="24"/>
          <w:szCs w:val="24"/>
        </w:rPr>
        <w:t>крупных и средних предприятий</w:t>
      </w:r>
      <w:r w:rsidR="003D401B" w:rsidRPr="003206E6">
        <w:rPr>
          <w:sz w:val="24"/>
          <w:szCs w:val="24"/>
        </w:rPr>
        <w:t xml:space="preserve"> в отчетном периоде составил</w:t>
      </w:r>
      <w:r w:rsidRPr="003206E6">
        <w:rPr>
          <w:sz w:val="24"/>
          <w:szCs w:val="24"/>
        </w:rPr>
        <w:t xml:space="preserve"> </w:t>
      </w:r>
      <w:r w:rsidR="00954590">
        <w:rPr>
          <w:sz w:val="24"/>
          <w:szCs w:val="24"/>
        </w:rPr>
        <w:t>734,</w:t>
      </w:r>
      <w:r w:rsidR="004569AF">
        <w:rPr>
          <w:sz w:val="24"/>
          <w:szCs w:val="24"/>
        </w:rPr>
        <w:t>7</w:t>
      </w:r>
      <w:r w:rsidR="00EF4E59">
        <w:rPr>
          <w:sz w:val="24"/>
          <w:szCs w:val="24"/>
        </w:rPr>
        <w:t xml:space="preserve"> </w:t>
      </w:r>
      <w:r w:rsidR="00EB244B">
        <w:rPr>
          <w:sz w:val="24"/>
          <w:szCs w:val="24"/>
        </w:rPr>
        <w:t xml:space="preserve">млрд руб., что соответствует </w:t>
      </w:r>
      <w:r w:rsidR="00EF4E59">
        <w:rPr>
          <w:sz w:val="24"/>
          <w:szCs w:val="24"/>
        </w:rPr>
        <w:t>8</w:t>
      </w:r>
      <w:r w:rsidR="004569AF">
        <w:rPr>
          <w:sz w:val="24"/>
          <w:szCs w:val="24"/>
        </w:rPr>
        <w:t>1,7</w:t>
      </w:r>
      <w:r w:rsidRPr="003206E6">
        <w:rPr>
          <w:sz w:val="24"/>
          <w:szCs w:val="24"/>
        </w:rPr>
        <w:t>% от суммы инвестиций по всем источникам (доля крупных и</w:t>
      </w:r>
      <w:r w:rsidR="003D401B" w:rsidRPr="003206E6">
        <w:rPr>
          <w:sz w:val="24"/>
          <w:szCs w:val="24"/>
        </w:rPr>
        <w:t> </w:t>
      </w:r>
      <w:r w:rsidRPr="003206E6">
        <w:rPr>
          <w:sz w:val="24"/>
          <w:szCs w:val="24"/>
        </w:rPr>
        <w:t xml:space="preserve">средних предприятий в общем объеме инвестиций в основной капитал традиционно составляет около 60–75%). ИФО по этому показателю составил </w:t>
      </w:r>
      <w:r w:rsidR="004569AF">
        <w:rPr>
          <w:sz w:val="24"/>
          <w:szCs w:val="24"/>
        </w:rPr>
        <w:t>112</w:t>
      </w:r>
      <w:r w:rsidRPr="003206E6">
        <w:rPr>
          <w:sz w:val="24"/>
          <w:szCs w:val="24"/>
        </w:rPr>
        <w:t>%.</w:t>
      </w:r>
    </w:p>
    <w:p w14:paraId="16FE2FEB" w14:textId="098D6ACE" w:rsidR="00D640ED" w:rsidRPr="00D640ED" w:rsidRDefault="00D640ED" w:rsidP="00E24791">
      <w:pPr>
        <w:spacing w:before="240" w:after="0" w:line="240" w:lineRule="auto"/>
        <w:jc w:val="center"/>
        <w:rPr>
          <w:szCs w:val="24"/>
        </w:rPr>
      </w:pPr>
      <w:r w:rsidRPr="00D640ED">
        <w:rPr>
          <w:b/>
          <w:bCs/>
          <w:szCs w:val="24"/>
        </w:rPr>
        <w:t>Рис. 1. Динамика инвестиций в основной капитал по полному кругу предприятий в текущих ценах</w:t>
      </w:r>
      <w:r w:rsidR="00BE706F">
        <w:rPr>
          <w:b/>
          <w:bCs/>
          <w:szCs w:val="24"/>
        </w:rPr>
        <w:t xml:space="preserve"> </w:t>
      </w:r>
      <w:r w:rsidR="00BE706F">
        <w:rPr>
          <w:b/>
          <w:bCs/>
          <w:szCs w:val="24"/>
        </w:rPr>
        <w:br/>
        <w:t xml:space="preserve">за январь – </w:t>
      </w:r>
      <w:r w:rsidR="00610276">
        <w:rPr>
          <w:b/>
          <w:bCs/>
          <w:szCs w:val="24"/>
        </w:rPr>
        <w:t>сентябрь</w:t>
      </w:r>
    </w:p>
    <w:p w14:paraId="4066C9EF" w14:textId="5595DCC7" w:rsidR="003D401B" w:rsidRDefault="003D401B" w:rsidP="00E24791">
      <w:pPr>
        <w:spacing w:before="240" w:after="0" w:line="240" w:lineRule="auto"/>
        <w:jc w:val="center"/>
        <w:rPr>
          <w:strike/>
          <w:sz w:val="24"/>
          <w:szCs w:val="24"/>
        </w:rPr>
      </w:pPr>
      <w:r w:rsidRPr="00D42653">
        <w:rPr>
          <w:noProof/>
          <w:color w:val="006600"/>
          <w:sz w:val="24"/>
          <w:szCs w:val="24"/>
          <w:shd w:val="clear" w:color="auto" w:fill="B4C8D9" w:themeFill="text2" w:themeFillTint="40"/>
          <w:lang w:eastAsia="ru-RU"/>
        </w:rPr>
        <w:drawing>
          <wp:inline distT="0" distB="0" distL="0" distR="0" wp14:anchorId="71439E0C" wp14:editId="1E5045E8">
            <wp:extent cx="6445250" cy="28384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48EF1" w14:textId="21742DF2" w:rsidR="00B70F00" w:rsidRPr="00C732B0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 xml:space="preserve">Источник: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68C36C57" w14:textId="5748578A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</w:rPr>
      </w:pPr>
      <w:r w:rsidRPr="00C732B0">
        <w:rPr>
          <w:b/>
          <w:sz w:val="24"/>
        </w:rPr>
        <w:t>2. Инвестиции в основной капитал крупных и средних организаций (без субъектов малого предпринимательства) по видам экономической деятельности</w:t>
      </w:r>
    </w:p>
    <w:p w14:paraId="2C202E6F" w14:textId="517FB9BC" w:rsidR="00B70F00" w:rsidRPr="00F771A8" w:rsidRDefault="00B70F00" w:rsidP="00E24791">
      <w:pPr>
        <w:spacing w:after="0" w:line="240" w:lineRule="auto"/>
        <w:ind w:firstLine="567"/>
        <w:jc w:val="both"/>
        <w:rPr>
          <w:sz w:val="24"/>
        </w:rPr>
      </w:pPr>
      <w:r w:rsidRPr="00C732B0">
        <w:rPr>
          <w:sz w:val="24"/>
        </w:rPr>
        <w:t>По итогам</w:t>
      </w:r>
      <w:r w:rsidR="00713341" w:rsidRPr="00713341">
        <w:rPr>
          <w:sz w:val="24"/>
        </w:rPr>
        <w:t xml:space="preserve"> </w:t>
      </w:r>
      <w:r w:rsidR="004569AF">
        <w:rPr>
          <w:sz w:val="24"/>
        </w:rPr>
        <w:t>3</w:t>
      </w:r>
      <w:r w:rsidR="00713341" w:rsidRPr="00713341">
        <w:rPr>
          <w:sz w:val="24"/>
        </w:rPr>
        <w:t>-</w:t>
      </w:r>
      <w:r w:rsidR="00713341">
        <w:rPr>
          <w:sz w:val="24"/>
        </w:rPr>
        <w:t>го квартала</w:t>
      </w:r>
      <w:r w:rsidRPr="00C732B0">
        <w:rPr>
          <w:sz w:val="24"/>
        </w:rPr>
        <w:t xml:space="preserve"> </w:t>
      </w:r>
      <w:r w:rsidR="009D17E8" w:rsidRPr="00F771A8">
        <w:rPr>
          <w:sz w:val="24"/>
          <w:szCs w:val="24"/>
        </w:rPr>
        <w:t>202</w:t>
      </w:r>
      <w:r w:rsidR="00713341">
        <w:rPr>
          <w:sz w:val="24"/>
          <w:szCs w:val="24"/>
        </w:rPr>
        <w:t>4</w:t>
      </w:r>
      <w:r w:rsidR="009D17E8" w:rsidRPr="00F771A8">
        <w:rPr>
          <w:sz w:val="24"/>
          <w:szCs w:val="24"/>
        </w:rPr>
        <w:t xml:space="preserve"> </w:t>
      </w:r>
      <w:r w:rsidRPr="00F771A8">
        <w:rPr>
          <w:sz w:val="24"/>
        </w:rPr>
        <w:t>года структура инвестиций в основной капитал организаций (без субъектов малого предпринимательства) по видам экономической деятельности</w:t>
      </w:r>
      <w:r w:rsidR="00EF3394" w:rsidRPr="00F771A8">
        <w:rPr>
          <w:sz w:val="24"/>
        </w:rPr>
        <w:t xml:space="preserve"> </w:t>
      </w:r>
      <w:r w:rsidRPr="00F771A8">
        <w:rPr>
          <w:sz w:val="24"/>
        </w:rPr>
        <w:t xml:space="preserve">не претерпела значительных изменений по сравнению с </w:t>
      </w:r>
      <w:r w:rsidR="00B75F45" w:rsidRPr="00F771A8">
        <w:rPr>
          <w:sz w:val="24"/>
        </w:rPr>
        <w:t>предыдущими годами (рис. 2)</w:t>
      </w:r>
      <w:r w:rsidRPr="00F771A8">
        <w:rPr>
          <w:sz w:val="24"/>
        </w:rPr>
        <w:t>. Традиционно лидирующими по объему инвестиций в</w:t>
      </w:r>
      <w:r w:rsidR="00C02ADF" w:rsidRPr="00F771A8">
        <w:rPr>
          <w:sz w:val="24"/>
        </w:rPr>
        <w:t> </w:t>
      </w:r>
      <w:r w:rsidRPr="00F771A8">
        <w:rPr>
          <w:sz w:val="24"/>
        </w:rPr>
        <w:t>основной капитал видами экономической деятельности (</w:t>
      </w:r>
      <w:r w:rsidR="00EF3394" w:rsidRPr="00F771A8">
        <w:rPr>
          <w:sz w:val="24"/>
        </w:rPr>
        <w:t>топ</w:t>
      </w:r>
      <w:r w:rsidR="00EF3394" w:rsidRPr="00F771A8">
        <w:rPr>
          <w:sz w:val="24"/>
        </w:rPr>
        <w:noBreakHyphen/>
        <w:t>3</w:t>
      </w:r>
      <w:r w:rsidRPr="00F771A8">
        <w:rPr>
          <w:sz w:val="24"/>
        </w:rPr>
        <w:t>) являются:</w:t>
      </w:r>
    </w:p>
    <w:p w14:paraId="69A21038" w14:textId="678E5D95" w:rsidR="00B70F00" w:rsidRDefault="00B70F00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Транспортировка и хранение</w:t>
      </w:r>
      <w:r w:rsidRPr="00F771A8">
        <w:rPr>
          <w:sz w:val="24"/>
        </w:rPr>
        <w:t xml:space="preserve"> (</w:t>
      </w:r>
      <w:r w:rsidR="00EF3394" w:rsidRPr="00F771A8">
        <w:rPr>
          <w:sz w:val="24"/>
        </w:rPr>
        <w:t>2</w:t>
      </w:r>
      <w:r w:rsidR="00112836">
        <w:rPr>
          <w:sz w:val="24"/>
        </w:rPr>
        <w:t>2</w:t>
      </w:r>
      <w:r w:rsidR="00713341">
        <w:rPr>
          <w:sz w:val="24"/>
        </w:rPr>
        <w:t>,</w:t>
      </w:r>
      <w:r w:rsidR="004569AF">
        <w:rPr>
          <w:sz w:val="24"/>
        </w:rPr>
        <w:t>7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январе – </w:t>
      </w:r>
      <w:r w:rsidR="004569AF">
        <w:rPr>
          <w:sz w:val="24"/>
        </w:rPr>
        <w:t>сентябре</w:t>
      </w:r>
      <w:r w:rsidR="00713341">
        <w:rPr>
          <w:sz w:val="24"/>
        </w:rPr>
        <w:t xml:space="preserve"> 2024</w:t>
      </w:r>
      <w:r w:rsidRPr="00F771A8">
        <w:rPr>
          <w:sz w:val="24"/>
        </w:rPr>
        <w:t xml:space="preserve"> год</w:t>
      </w:r>
      <w:r w:rsidR="00713341">
        <w:rPr>
          <w:sz w:val="24"/>
        </w:rPr>
        <w:t>а</w:t>
      </w:r>
      <w:r w:rsidRPr="00F771A8">
        <w:rPr>
          <w:sz w:val="24"/>
        </w:rPr>
        <w:t xml:space="preserve"> против </w:t>
      </w:r>
      <w:r w:rsidR="004569AF">
        <w:rPr>
          <w:sz w:val="24"/>
        </w:rPr>
        <w:t>25,2</w:t>
      </w:r>
      <w:r w:rsidRPr="00F771A8">
        <w:rPr>
          <w:sz w:val="24"/>
        </w:rPr>
        <w:t>%</w:t>
      </w:r>
      <w:r w:rsidR="00C02ADF" w:rsidRPr="00F771A8">
        <w:rPr>
          <w:sz w:val="24"/>
        </w:rPr>
        <w:t xml:space="preserve"> в</w:t>
      </w:r>
      <w:r w:rsidR="00713341">
        <w:rPr>
          <w:sz w:val="24"/>
        </w:rPr>
        <w:t xml:space="preserve"> аналогичном периоде </w:t>
      </w:r>
      <w:r w:rsidR="00713341">
        <w:rPr>
          <w:sz w:val="24"/>
        </w:rPr>
        <w:br/>
        <w:t>2023 года</w:t>
      </w:r>
      <w:r w:rsidRPr="00F771A8">
        <w:rPr>
          <w:sz w:val="24"/>
        </w:rPr>
        <w:t>)</w:t>
      </w:r>
      <w:r w:rsidR="00904B9D" w:rsidRPr="00F771A8">
        <w:rPr>
          <w:sz w:val="24"/>
        </w:rPr>
        <w:t>.</w:t>
      </w:r>
    </w:p>
    <w:p w14:paraId="6D7DFE5F" w14:textId="0D6CEAA1" w:rsidR="00112836" w:rsidRPr="00F771A8" w:rsidRDefault="00112836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Деятельность по операциям с недвижимым имуществом</w:t>
      </w:r>
      <w:r w:rsidRPr="00F771A8">
        <w:rPr>
          <w:sz w:val="24"/>
        </w:rPr>
        <w:t> (</w:t>
      </w:r>
      <w:r>
        <w:rPr>
          <w:sz w:val="24"/>
        </w:rPr>
        <w:t>12,</w:t>
      </w:r>
      <w:r w:rsidR="004569AF">
        <w:rPr>
          <w:sz w:val="24"/>
        </w:rPr>
        <w:t>1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>
        <w:rPr>
          <w:sz w:val="24"/>
        </w:rPr>
        <w:t xml:space="preserve"> январе – </w:t>
      </w:r>
      <w:r w:rsidR="004569AF">
        <w:rPr>
          <w:sz w:val="24"/>
        </w:rPr>
        <w:t>сентябре</w:t>
      </w:r>
      <w:r>
        <w:rPr>
          <w:sz w:val="24"/>
        </w:rPr>
        <w:t xml:space="preserve"> 2024</w:t>
      </w:r>
      <w:r w:rsidRPr="00F771A8">
        <w:rPr>
          <w:sz w:val="24"/>
        </w:rPr>
        <w:t xml:space="preserve"> год</w:t>
      </w:r>
      <w:r>
        <w:rPr>
          <w:sz w:val="24"/>
        </w:rPr>
        <w:t>а</w:t>
      </w:r>
      <w:r w:rsidRPr="00F771A8">
        <w:rPr>
          <w:sz w:val="24"/>
        </w:rPr>
        <w:t xml:space="preserve"> против </w:t>
      </w:r>
      <w:r>
        <w:rPr>
          <w:sz w:val="24"/>
        </w:rPr>
        <w:t>1</w:t>
      </w:r>
      <w:r w:rsidR="004569AF">
        <w:rPr>
          <w:sz w:val="24"/>
        </w:rPr>
        <w:t>6,6</w:t>
      </w:r>
      <w:r>
        <w:rPr>
          <w:sz w:val="24"/>
        </w:rPr>
        <w:t>%</w:t>
      </w:r>
      <w:r w:rsidRPr="00F771A8">
        <w:rPr>
          <w:sz w:val="24"/>
        </w:rPr>
        <w:t xml:space="preserve"> в</w:t>
      </w:r>
      <w:r>
        <w:rPr>
          <w:sz w:val="24"/>
        </w:rPr>
        <w:t xml:space="preserve"> аналогичном периоде 2023 года</w:t>
      </w:r>
      <w:r w:rsidRPr="00F771A8">
        <w:rPr>
          <w:sz w:val="24"/>
        </w:rPr>
        <w:t>).</w:t>
      </w:r>
    </w:p>
    <w:p w14:paraId="67C8EC96" w14:textId="47852078" w:rsidR="00E24791" w:rsidRPr="00112836" w:rsidRDefault="00022450" w:rsidP="0011283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Обрабатывающие производства</w:t>
      </w:r>
      <w:r w:rsidRPr="00F771A8">
        <w:rPr>
          <w:sz w:val="24"/>
        </w:rPr>
        <w:t xml:space="preserve"> (</w:t>
      </w:r>
      <w:bookmarkStart w:id="2" w:name="OLE_LINK1"/>
      <w:r w:rsidR="004569AF">
        <w:rPr>
          <w:sz w:val="24"/>
        </w:rPr>
        <w:t>11,4</w:t>
      </w:r>
      <w:r w:rsidR="00713341"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январе – </w:t>
      </w:r>
      <w:r w:rsidR="004569AF">
        <w:rPr>
          <w:sz w:val="24"/>
        </w:rPr>
        <w:t>сентябре</w:t>
      </w:r>
      <w:r w:rsidR="00713341">
        <w:rPr>
          <w:sz w:val="24"/>
        </w:rPr>
        <w:t xml:space="preserve"> 2024</w:t>
      </w:r>
      <w:r w:rsidR="00713341" w:rsidRPr="00F771A8">
        <w:rPr>
          <w:sz w:val="24"/>
        </w:rPr>
        <w:t xml:space="preserve"> год</w:t>
      </w:r>
      <w:r w:rsidR="00713341">
        <w:rPr>
          <w:sz w:val="24"/>
        </w:rPr>
        <w:t>а</w:t>
      </w:r>
      <w:r w:rsidR="00713341" w:rsidRPr="00F771A8">
        <w:rPr>
          <w:sz w:val="24"/>
        </w:rPr>
        <w:t xml:space="preserve"> против </w:t>
      </w:r>
      <w:r w:rsidR="00713341">
        <w:rPr>
          <w:sz w:val="24"/>
        </w:rPr>
        <w:t>10,</w:t>
      </w:r>
      <w:r w:rsidR="004569AF">
        <w:rPr>
          <w:sz w:val="24"/>
        </w:rPr>
        <w:t>6</w:t>
      </w:r>
      <w:r w:rsidR="00713341">
        <w:rPr>
          <w:sz w:val="24"/>
        </w:rPr>
        <w:t>%</w:t>
      </w:r>
      <w:r w:rsidR="00713341" w:rsidRPr="00F771A8">
        <w:rPr>
          <w:sz w:val="24"/>
        </w:rPr>
        <w:t xml:space="preserve"> в</w:t>
      </w:r>
      <w:r w:rsidR="00713341">
        <w:rPr>
          <w:sz w:val="24"/>
        </w:rPr>
        <w:t xml:space="preserve"> аналогичном периоде </w:t>
      </w:r>
      <w:r w:rsidR="00713341">
        <w:rPr>
          <w:sz w:val="24"/>
        </w:rPr>
        <w:br/>
        <w:t>2023 года</w:t>
      </w:r>
      <w:bookmarkEnd w:id="2"/>
      <w:r w:rsidRPr="00F771A8">
        <w:rPr>
          <w:sz w:val="24"/>
        </w:rPr>
        <w:t>).</w:t>
      </w:r>
    </w:p>
    <w:p w14:paraId="5729A335" w14:textId="54593C31" w:rsidR="00E24791" w:rsidRPr="00F771A8" w:rsidRDefault="00E24791" w:rsidP="00E24791">
      <w:pPr>
        <w:rPr>
          <w:sz w:val="24"/>
        </w:rPr>
      </w:pPr>
      <w:r w:rsidRPr="00F771A8">
        <w:rPr>
          <w:sz w:val="24"/>
        </w:rPr>
        <w:br w:type="page"/>
      </w:r>
    </w:p>
    <w:p w14:paraId="166AAD70" w14:textId="51FE12B8" w:rsidR="00E24791" w:rsidRPr="00E24791" w:rsidRDefault="00E24791" w:rsidP="00E24791">
      <w:pPr>
        <w:spacing w:before="240" w:after="0" w:line="240" w:lineRule="auto"/>
        <w:jc w:val="center"/>
        <w:rPr>
          <w:b/>
          <w:bCs/>
          <w:szCs w:val="24"/>
        </w:rPr>
      </w:pPr>
      <w:r w:rsidRPr="00E24791">
        <w:rPr>
          <w:b/>
          <w:bCs/>
          <w:szCs w:val="24"/>
        </w:rPr>
        <w:lastRenderedPageBreak/>
        <w:t>Рис. 2. Структура инвестиций в основной капитал по в</w:t>
      </w:r>
      <w:r w:rsidR="00E158B9">
        <w:rPr>
          <w:b/>
          <w:bCs/>
          <w:szCs w:val="24"/>
        </w:rPr>
        <w:t xml:space="preserve">идам экономической деятельности </w:t>
      </w:r>
      <w:r w:rsidR="00E158B9">
        <w:rPr>
          <w:b/>
          <w:bCs/>
          <w:szCs w:val="24"/>
        </w:rPr>
        <w:br/>
        <w:t xml:space="preserve">за январь – </w:t>
      </w:r>
      <w:r w:rsidR="00C8470B">
        <w:rPr>
          <w:b/>
          <w:bCs/>
          <w:szCs w:val="24"/>
        </w:rPr>
        <w:t>сентябрь</w:t>
      </w:r>
      <w:r w:rsidR="00E158B9">
        <w:rPr>
          <w:b/>
          <w:bCs/>
          <w:szCs w:val="24"/>
        </w:rPr>
        <w:t xml:space="preserve"> </w:t>
      </w:r>
      <w:r w:rsidRPr="00E24791">
        <w:rPr>
          <w:b/>
          <w:bCs/>
          <w:szCs w:val="24"/>
        </w:rPr>
        <w:t>(без субъекто</w:t>
      </w:r>
      <w:r w:rsidR="00F771A8">
        <w:rPr>
          <w:b/>
          <w:bCs/>
          <w:szCs w:val="24"/>
        </w:rPr>
        <w:t>в малого предпринимательства)</w:t>
      </w:r>
      <w:r>
        <w:rPr>
          <w:rStyle w:val="ab"/>
          <w:b/>
          <w:bCs/>
          <w:szCs w:val="24"/>
        </w:rPr>
        <w:footnoteReference w:id="1"/>
      </w:r>
    </w:p>
    <w:p w14:paraId="3EDE4BD0" w14:textId="06D656B4" w:rsidR="0096239A" w:rsidRPr="00E24791" w:rsidRDefault="00A62E40" w:rsidP="00E24791">
      <w:pPr>
        <w:tabs>
          <w:tab w:val="left" w:pos="993"/>
        </w:tabs>
        <w:spacing w:after="0" w:line="240" w:lineRule="auto"/>
        <w:jc w:val="both"/>
        <w:rPr>
          <w:sz w:val="24"/>
        </w:rPr>
      </w:pPr>
      <w:r w:rsidRPr="00F7463A">
        <w:rPr>
          <w:noProof/>
          <w:lang w:eastAsia="ru-RU"/>
        </w:rPr>
        <w:drawing>
          <wp:inline distT="0" distB="0" distL="0" distR="0" wp14:anchorId="4CE66186" wp14:editId="537A3CE6">
            <wp:extent cx="6802120" cy="32099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4291E1" w14:textId="62855670" w:rsidR="00312514" w:rsidRDefault="0096239A" w:rsidP="00E24791">
      <w:pPr>
        <w:spacing w:line="240" w:lineRule="auto"/>
        <w:jc w:val="both"/>
        <w:rPr>
          <w:sz w:val="24"/>
        </w:rPr>
      </w:pPr>
      <w:r w:rsidRPr="00412F4F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051F150" wp14:editId="554718BC">
                <wp:extent cx="6646460" cy="2571750"/>
                <wp:effectExtent l="0" t="0" r="0" b="0"/>
                <wp:docPr id="1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60" cy="257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68740" w14:textId="77777777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Транспортировка и хранение. </w:t>
                            </w:r>
                          </w:p>
                          <w:p w14:paraId="57B88D5F" w14:textId="1FD7DC27" w:rsidR="008C0B41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0B41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по операциям с недвижимым имуществом</w:t>
                            </w:r>
                            <w:r w:rsidR="008C0B41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2F945E" w14:textId="468A0AA6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Обрабатывающие производства. </w:t>
                            </w:r>
                          </w:p>
                          <w:p w14:paraId="7B2EE2F0" w14:textId="4B760C39" w:rsidR="00C8470B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="00C8470B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8470B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 области информации и связи.</w:t>
                            </w:r>
                          </w:p>
                          <w:p w14:paraId="06A72D12" w14:textId="77777777" w:rsidR="00C8470B" w:rsidRPr="003D0366" w:rsidRDefault="008C0B41" w:rsidP="00C8470B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917ED4" w:rsidRP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470B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Торговля оптовая и розничная; ремонт автотранспортных средств и мотоциклов.</w:t>
                            </w:r>
                          </w:p>
                          <w:p w14:paraId="6F31060C" w14:textId="77777777" w:rsidR="00C8470B" w:rsidRDefault="008C0B41" w:rsidP="00C8470B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8470B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Строительство.</w:t>
                            </w:r>
                          </w:p>
                          <w:p w14:paraId="6FC810C5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17ED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Обеспечение электрической энергией, газом и паром; кондиционирование воздуха.</w:t>
                            </w:r>
                          </w:p>
                          <w:p w14:paraId="31113A62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Образование. </w:t>
                            </w:r>
                          </w:p>
                          <w:p w14:paraId="41E9FB4A" w14:textId="5E3371E7" w:rsidR="00917ED4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917ED4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17ED4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профессиональная, научная и техническая</w:t>
                            </w:r>
                            <w:r w:rsidR="00917ED4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6A5911E" w14:textId="67D7CDFF" w:rsidR="008C0B41" w:rsidRPr="003D0366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 области здравоохранения и социальных услуг.</w:t>
                            </w:r>
                          </w:p>
                          <w:p w14:paraId="6155E227" w14:textId="46C1F53E" w:rsidR="008C0B41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Pr="008C0B41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Деятельность административная и сопутствующие дополнительные услуги</w:t>
                            </w:r>
                            <w:r w:rsidR="00D54CF8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BB98D7" w14:textId="1EE31E43" w:rsidR="00C8470B" w:rsidRDefault="00C8470B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C8470B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Водоснабжение; водоотведение, организация сбора и утилизации отходов, деятельность по ликвидации загрязнений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CB58BD" w14:textId="6BEAF96A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96239A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6239A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Деятельность 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>финансовая и страховая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E92D86A" w14:textId="3A1777C7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Другие виды деятельности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51F15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23.35pt;height:2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" filled="f" stroked="f">
                <v:textbox>
                  <w:txbxContent>
                    <w:p w14:paraId="51768740" w14:textId="77777777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Транспортировка и хранение. </w:t>
                      </w:r>
                    </w:p>
                    <w:p w14:paraId="57B88D5F" w14:textId="1FD7DC27" w:rsidR="008C0B41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C0B41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по операциям с недвижимым имуществом</w:t>
                      </w:r>
                      <w:r w:rsidR="008C0B41"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B2F945E" w14:textId="468A0AA6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Обрабатывающие производства. </w:t>
                      </w:r>
                    </w:p>
                    <w:p w14:paraId="7B2EE2F0" w14:textId="4B760C39" w:rsidR="00C8470B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4</w:t>
                      </w:r>
                      <w:r w:rsidR="00C8470B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="00C8470B"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 области информации и связи.</w:t>
                      </w:r>
                    </w:p>
                    <w:p w14:paraId="06A72D12" w14:textId="77777777" w:rsidR="00C8470B" w:rsidRPr="003D0366" w:rsidRDefault="008C0B41" w:rsidP="00C8470B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5</w:t>
                      </w:r>
                      <w:r w:rsidR="00917ED4" w:rsidRPr="00917ED4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8470B" w:rsidRPr="003D0366">
                        <w:rPr>
                          <w:kern w:val="24"/>
                          <w:sz w:val="22"/>
                          <w:szCs w:val="22"/>
                        </w:rPr>
                        <w:t>Торговля оптовая и розничная; ремонт автотранспортных средств и мотоциклов.</w:t>
                      </w:r>
                    </w:p>
                    <w:p w14:paraId="6F31060C" w14:textId="77777777" w:rsidR="00C8470B" w:rsidRDefault="008C0B41" w:rsidP="00C8470B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="00C8470B" w:rsidRPr="003D0366">
                        <w:rPr>
                          <w:kern w:val="24"/>
                          <w:sz w:val="22"/>
                          <w:szCs w:val="22"/>
                        </w:rPr>
                        <w:t>Строительство.</w:t>
                      </w:r>
                    </w:p>
                    <w:p w14:paraId="6FC810C5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917ED4"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Обеспечение электрической энергией, газом и паром; кондиционирование воздуха.</w:t>
                      </w:r>
                    </w:p>
                    <w:p w14:paraId="31113A62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 Образование. </w:t>
                      </w:r>
                    </w:p>
                    <w:p w14:paraId="41E9FB4A" w14:textId="5E3371E7" w:rsidR="00917ED4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9</w:t>
                      </w:r>
                      <w:r w:rsidR="00917ED4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17ED4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профессиональная, научная и техническая</w:t>
                      </w:r>
                      <w:r w:rsidR="00917ED4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6A5911E" w14:textId="67D7CDFF" w:rsidR="008C0B41" w:rsidRPr="003D0366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 области здравоохранения и социальных услуг.</w:t>
                      </w:r>
                    </w:p>
                    <w:p w14:paraId="6155E227" w14:textId="46C1F53E" w:rsidR="008C0B41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11. </w:t>
                      </w:r>
                      <w:r w:rsidRPr="008C0B41">
                        <w:rPr>
                          <w:bCs/>
                          <w:kern w:val="24"/>
                          <w:sz w:val="22"/>
                          <w:szCs w:val="22"/>
                        </w:rPr>
                        <w:t>Деятельность административная и сопутствующие дополнительные услуги</w:t>
                      </w:r>
                      <w:r w:rsidR="00D54CF8"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3BB98D7" w14:textId="1EE31E43" w:rsidR="00C8470B" w:rsidRDefault="00C8470B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C8470B">
                        <w:rPr>
                          <w:bCs/>
                          <w:kern w:val="24"/>
                          <w:sz w:val="22"/>
                          <w:szCs w:val="22"/>
                        </w:rPr>
                        <w:t>Водоснабжение; водоотведение, организация сбора и утилизации отходов, деятельность по ликвидации загрязнений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DCB58BD" w14:textId="6BEAF96A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="0096239A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6239A" w:rsidRPr="00022450">
                        <w:rPr>
                          <w:kern w:val="24"/>
                          <w:sz w:val="22"/>
                          <w:szCs w:val="22"/>
                        </w:rPr>
                        <w:t xml:space="preserve">Деятельность 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>финансовая и страховая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E92D86A" w14:textId="3A1777C7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bCs/>
                          <w:kern w:val="24"/>
                          <w:sz w:val="22"/>
                          <w:szCs w:val="22"/>
                        </w:rPr>
                        <w:t>Другие виды деятельности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A5A77" w14:textId="398D5640" w:rsidR="00B70F00" w:rsidRPr="00244E8D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>Источник:</w:t>
      </w:r>
      <w:r w:rsidR="00C26FFA">
        <w:rPr>
          <w:i/>
          <w:sz w:val="20"/>
          <w:szCs w:val="20"/>
        </w:rPr>
        <w:t xml:space="preserve"> </w:t>
      </w:r>
      <w:proofErr w:type="spellStart"/>
      <w:r w:rsidRPr="00C732B0">
        <w:rPr>
          <w:i/>
          <w:sz w:val="20"/>
          <w:szCs w:val="20"/>
        </w:rPr>
        <w:t>Петростат</w:t>
      </w:r>
      <w:proofErr w:type="spellEnd"/>
    </w:p>
    <w:p w14:paraId="493D474B" w14:textId="77777777" w:rsidR="00B70F00" w:rsidRPr="0096239A" w:rsidRDefault="00B70F00" w:rsidP="00E24791">
      <w:pPr>
        <w:tabs>
          <w:tab w:val="left" w:pos="993"/>
        </w:tabs>
        <w:spacing w:after="0" w:line="240" w:lineRule="auto"/>
        <w:jc w:val="both"/>
        <w:rPr>
          <w:sz w:val="20"/>
        </w:rPr>
      </w:pPr>
    </w:p>
    <w:p w14:paraId="415CBB49" w14:textId="6DBFCBBD" w:rsidR="0054762A" w:rsidRDefault="007D7DAD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У всех рассматриваемых видов деятельности отмечена позитивная динамика, за исключением </w:t>
      </w:r>
      <w:r w:rsidR="00917ED4">
        <w:rPr>
          <w:sz w:val="24"/>
        </w:rPr>
        <w:t>деятельности по операциям с недвижимым имуществом</w:t>
      </w:r>
      <w:r w:rsidR="0054762A">
        <w:rPr>
          <w:sz w:val="24"/>
        </w:rPr>
        <w:t xml:space="preserve"> </w:t>
      </w:r>
      <w:r w:rsidR="0054762A" w:rsidRPr="00F771A8">
        <w:rPr>
          <w:sz w:val="24"/>
        </w:rPr>
        <w:t xml:space="preserve">(ИФО – </w:t>
      </w:r>
      <w:r w:rsidR="0054762A">
        <w:rPr>
          <w:sz w:val="24"/>
        </w:rPr>
        <w:t>82,4</w:t>
      </w:r>
      <w:r w:rsidR="0054762A" w:rsidRPr="00F771A8">
        <w:rPr>
          <w:sz w:val="24"/>
        </w:rPr>
        <w:t>%)</w:t>
      </w:r>
      <w:r w:rsidR="00112836">
        <w:rPr>
          <w:sz w:val="24"/>
        </w:rPr>
        <w:t xml:space="preserve">, </w:t>
      </w:r>
      <w:r w:rsidR="006B1C98">
        <w:rPr>
          <w:sz w:val="24"/>
        </w:rPr>
        <w:t xml:space="preserve">деятельности по </w:t>
      </w:r>
      <w:r w:rsidR="00112836">
        <w:rPr>
          <w:sz w:val="24"/>
        </w:rPr>
        <w:t>обеспечени</w:t>
      </w:r>
      <w:r w:rsidR="006B1C98">
        <w:rPr>
          <w:sz w:val="24"/>
        </w:rPr>
        <w:t>ю</w:t>
      </w:r>
      <w:r w:rsidR="00112836">
        <w:rPr>
          <w:sz w:val="24"/>
        </w:rPr>
        <w:t xml:space="preserve"> </w:t>
      </w:r>
      <w:r w:rsidR="00112836" w:rsidRPr="00112836">
        <w:rPr>
          <w:sz w:val="24"/>
        </w:rPr>
        <w:t>электрической энергией, газом и паром; кондиционировани</w:t>
      </w:r>
      <w:r w:rsidR="006B1C98">
        <w:rPr>
          <w:sz w:val="24"/>
        </w:rPr>
        <w:t>ю</w:t>
      </w:r>
      <w:r w:rsidR="00112836" w:rsidRPr="00112836">
        <w:rPr>
          <w:sz w:val="24"/>
        </w:rPr>
        <w:t xml:space="preserve"> воздуха</w:t>
      </w:r>
      <w:r w:rsidR="0054762A">
        <w:rPr>
          <w:sz w:val="24"/>
        </w:rPr>
        <w:t xml:space="preserve"> (88,7%)</w:t>
      </w:r>
      <w:r w:rsidR="006B1C98">
        <w:rPr>
          <w:sz w:val="24"/>
        </w:rPr>
        <w:t xml:space="preserve"> и д</w:t>
      </w:r>
      <w:r w:rsidR="006B1C98" w:rsidRPr="006B1C98">
        <w:rPr>
          <w:sz w:val="24"/>
        </w:rPr>
        <w:t>еятельност</w:t>
      </w:r>
      <w:r w:rsidR="006B1C98">
        <w:rPr>
          <w:sz w:val="24"/>
        </w:rPr>
        <w:t>и</w:t>
      </w:r>
      <w:r w:rsidR="006B1C98" w:rsidRPr="006B1C98">
        <w:rPr>
          <w:sz w:val="24"/>
        </w:rPr>
        <w:t xml:space="preserve"> профессиональн</w:t>
      </w:r>
      <w:r w:rsidR="006B1C98">
        <w:rPr>
          <w:sz w:val="24"/>
        </w:rPr>
        <w:t>ой</w:t>
      </w:r>
      <w:r w:rsidR="006B1C98" w:rsidRPr="006B1C98">
        <w:rPr>
          <w:sz w:val="24"/>
        </w:rPr>
        <w:t>, научн</w:t>
      </w:r>
      <w:r w:rsidR="006B1C98">
        <w:rPr>
          <w:sz w:val="24"/>
        </w:rPr>
        <w:t>ой</w:t>
      </w:r>
      <w:r w:rsidR="006B1C98" w:rsidRPr="006B1C98">
        <w:rPr>
          <w:sz w:val="24"/>
        </w:rPr>
        <w:t xml:space="preserve"> и техническ</w:t>
      </w:r>
      <w:r w:rsidR="006B1C98">
        <w:rPr>
          <w:sz w:val="24"/>
        </w:rPr>
        <w:t>ой</w:t>
      </w:r>
      <w:r w:rsidR="0054762A">
        <w:rPr>
          <w:sz w:val="24"/>
        </w:rPr>
        <w:t xml:space="preserve"> (85,4%)</w:t>
      </w:r>
      <w:r>
        <w:rPr>
          <w:sz w:val="24"/>
        </w:rPr>
        <w:t>.</w:t>
      </w:r>
      <w:r w:rsidR="00BC0081">
        <w:rPr>
          <w:sz w:val="24"/>
        </w:rPr>
        <w:t xml:space="preserve"> </w:t>
      </w:r>
    </w:p>
    <w:p w14:paraId="3B369423" w14:textId="10D4E88A" w:rsidR="007D1B4C" w:rsidRPr="00B410A4" w:rsidRDefault="004B315A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Наибольший рост продемонстрировали инвестиции в </w:t>
      </w:r>
      <w:r w:rsidR="00E72CA2">
        <w:rPr>
          <w:sz w:val="24"/>
          <w:szCs w:val="24"/>
        </w:rPr>
        <w:t xml:space="preserve">строительстве (200%) и </w:t>
      </w:r>
      <w:r>
        <w:rPr>
          <w:sz w:val="24"/>
          <w:szCs w:val="24"/>
        </w:rPr>
        <w:t xml:space="preserve">финансовой </w:t>
      </w:r>
      <w:r w:rsidR="008E048D">
        <w:rPr>
          <w:sz w:val="24"/>
          <w:szCs w:val="24"/>
        </w:rPr>
        <w:br/>
      </w:r>
      <w:r>
        <w:rPr>
          <w:sz w:val="24"/>
          <w:szCs w:val="24"/>
        </w:rPr>
        <w:t>и страховой деятельности (</w:t>
      </w:r>
      <w:r w:rsidR="00D54CF8">
        <w:rPr>
          <w:sz w:val="24"/>
          <w:szCs w:val="24"/>
        </w:rPr>
        <w:t>2</w:t>
      </w:r>
      <w:r w:rsidR="00E72CA2">
        <w:rPr>
          <w:sz w:val="24"/>
          <w:szCs w:val="24"/>
        </w:rPr>
        <w:t>00%)</w:t>
      </w:r>
      <w:r w:rsidR="00704444">
        <w:rPr>
          <w:sz w:val="24"/>
          <w:szCs w:val="24"/>
        </w:rPr>
        <w:t xml:space="preserve">. </w:t>
      </w:r>
      <w:r w:rsidR="005A2D14">
        <w:rPr>
          <w:sz w:val="24"/>
          <w:szCs w:val="24"/>
        </w:rPr>
        <w:t xml:space="preserve">Существенное превышение объемов инвестиций в основной капитал по отношению к значениям 2023 года также фиксировалось </w:t>
      </w:r>
      <w:r w:rsidR="00670697">
        <w:rPr>
          <w:sz w:val="24"/>
          <w:szCs w:val="24"/>
        </w:rPr>
        <w:t>в</w:t>
      </w:r>
      <w:r w:rsidR="005A2D14">
        <w:rPr>
          <w:sz w:val="24"/>
          <w:szCs w:val="24"/>
        </w:rPr>
        <w:t xml:space="preserve"> сфере здравоохранения и социальных услуг (</w:t>
      </w:r>
      <w:r w:rsidR="00E72CA2">
        <w:rPr>
          <w:sz w:val="24"/>
          <w:szCs w:val="24"/>
        </w:rPr>
        <w:t>180%) и в области информации и связи</w:t>
      </w:r>
      <w:r w:rsidR="00670697">
        <w:rPr>
          <w:sz w:val="24"/>
          <w:szCs w:val="24"/>
        </w:rPr>
        <w:t xml:space="preserve"> (150</w:t>
      </w:r>
      <w:r w:rsidR="009C1A1A">
        <w:rPr>
          <w:sz w:val="24"/>
          <w:szCs w:val="24"/>
        </w:rPr>
        <w:t>%</w:t>
      </w:r>
      <w:r w:rsidR="00670697">
        <w:rPr>
          <w:sz w:val="24"/>
          <w:szCs w:val="24"/>
        </w:rPr>
        <w:t xml:space="preserve">). </w:t>
      </w:r>
      <w:r w:rsidR="005A2D14">
        <w:rPr>
          <w:sz w:val="24"/>
          <w:szCs w:val="24"/>
        </w:rPr>
        <w:t xml:space="preserve"> </w:t>
      </w:r>
    </w:p>
    <w:p w14:paraId="212B2318" w14:textId="0EEE1D1F" w:rsidR="00B07414" w:rsidRDefault="00B074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EBFAB" w14:textId="73422F6E" w:rsidR="00B07414" w:rsidRPr="00B07414" w:rsidRDefault="00B07414" w:rsidP="00B07414">
      <w:pPr>
        <w:spacing w:before="240" w:after="0" w:line="240" w:lineRule="auto"/>
        <w:jc w:val="center"/>
        <w:rPr>
          <w:sz w:val="24"/>
          <w:szCs w:val="24"/>
        </w:rPr>
      </w:pPr>
      <w:r w:rsidRPr="00B07414">
        <w:rPr>
          <w:b/>
          <w:bCs/>
          <w:szCs w:val="24"/>
        </w:rPr>
        <w:lastRenderedPageBreak/>
        <w:t>Рис. 3. Структура инвестиций в основной капитал по производимой продукции</w:t>
      </w:r>
      <w:r w:rsidRPr="00B07414">
        <w:rPr>
          <w:b/>
          <w:bCs/>
          <w:sz w:val="24"/>
          <w:szCs w:val="24"/>
        </w:rPr>
        <w:t xml:space="preserve"> в обрабатывающих производствах </w:t>
      </w:r>
      <w:r w:rsidR="00637F03">
        <w:rPr>
          <w:b/>
          <w:bCs/>
          <w:szCs w:val="24"/>
        </w:rPr>
        <w:t xml:space="preserve">за январь – </w:t>
      </w:r>
      <w:r w:rsidR="008E048D">
        <w:rPr>
          <w:b/>
          <w:bCs/>
          <w:szCs w:val="24"/>
        </w:rPr>
        <w:t>сентябрь</w:t>
      </w:r>
      <w:r w:rsidR="00637F03">
        <w:rPr>
          <w:b/>
          <w:bCs/>
          <w:szCs w:val="24"/>
        </w:rPr>
        <w:t xml:space="preserve"> </w:t>
      </w:r>
      <w:r w:rsidRPr="00B07414">
        <w:rPr>
          <w:b/>
          <w:bCs/>
          <w:sz w:val="24"/>
          <w:szCs w:val="24"/>
        </w:rPr>
        <w:t>(без субъек</w:t>
      </w:r>
      <w:r w:rsidR="00F771A8">
        <w:rPr>
          <w:b/>
          <w:bCs/>
          <w:sz w:val="24"/>
          <w:szCs w:val="24"/>
        </w:rPr>
        <w:t>тов малого предпринимательства)</w:t>
      </w:r>
      <w:r>
        <w:rPr>
          <w:rStyle w:val="ab"/>
          <w:b/>
          <w:bCs/>
          <w:sz w:val="24"/>
          <w:szCs w:val="24"/>
        </w:rPr>
        <w:footnoteReference w:id="2"/>
      </w:r>
    </w:p>
    <w:p w14:paraId="3F760044" w14:textId="067918B1" w:rsidR="00B70F00" w:rsidRDefault="005E27A4" w:rsidP="00E24791">
      <w:pPr>
        <w:tabs>
          <w:tab w:val="left" w:pos="4590"/>
        </w:tabs>
        <w:spacing w:after="0" w:line="240" w:lineRule="auto"/>
        <w:jc w:val="both"/>
        <w:rPr>
          <w:sz w:val="24"/>
        </w:rPr>
      </w:pPr>
      <w:r w:rsidRPr="00F7463A">
        <w:rPr>
          <w:noProof/>
          <w:color w:val="FEFFFF" w:themeColor="background1"/>
          <w:sz w:val="20"/>
          <w:szCs w:val="20"/>
          <w:lang w:eastAsia="ru-RU"/>
        </w:rPr>
        <w:drawing>
          <wp:inline distT="0" distB="0" distL="0" distR="0" wp14:anchorId="78B08BA6" wp14:editId="29A0351A">
            <wp:extent cx="6656052" cy="3084195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45518" w:rsidRPr="00143AC9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56D77308" wp14:editId="377D2D97">
                <wp:extent cx="6532880" cy="2066925"/>
                <wp:effectExtent l="0" t="0" r="0" b="0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880" cy="206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D9C95" w14:textId="6B9F1EC5" w:rsidR="00AE13F2" w:rsidRDefault="004C6902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Машины и оборудовани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, не включенные в другие группировки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B542B5" w14:textId="77777777" w:rsidR="00AE13F2" w:rsidRPr="00B07414" w:rsidRDefault="00B07414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Лекарственные средства и материалы, применяемые в медицинских целях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04A16F" w14:textId="6A8FB100" w:rsidR="003F351A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51A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Компьютеры, электронные и оптические изделия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864F14" w14:textId="05B59630" w:rsidR="003F351A" w:rsidRDefault="003F351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Готовые металлические изделия, кроме машин и оборудования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4F71E7" w14:textId="1F44F1CE" w:rsidR="003F351A" w:rsidRDefault="003F351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Прочие транспортные средства и оборудовани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BBA1A6" w14:textId="32FD35B7" w:rsidR="00AE13F2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Металлы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246EDB0" w14:textId="77777777" w:rsidR="00AE13F2" w:rsidRPr="00B07414" w:rsidRDefault="00AE13F2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Напитки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0BF8B7" w14:textId="77777777" w:rsidR="00AE13F2" w:rsidRDefault="00AE13F2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Электрическое оборудование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4EF5F7" w14:textId="2EF6AB50" w:rsidR="00B07414" w:rsidRPr="00B07414" w:rsidRDefault="00AE13F2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13F2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Химические вещества и химические продукты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C1197B" w14:textId="5D4189C8" w:rsidR="003F351A" w:rsidRPr="00B07414" w:rsidRDefault="00AE13F2" w:rsidP="003F351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3F351A" w:rsidRPr="00DC4DE7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Пищевые продукты.</w:t>
                            </w:r>
                          </w:p>
                          <w:p w14:paraId="042DD6CD" w14:textId="0BD22DE9" w:rsidR="00637F03" w:rsidRDefault="00510A2E" w:rsidP="00637F03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AE13F2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Прочая неметаллическая минеральная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E69A2B" w14:textId="73C69E7B" w:rsidR="004C6902" w:rsidRPr="003D0366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510A2E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Иная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D7730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width:514.4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" filled="f" stroked="f">
                <v:textbox>
                  <w:txbxContent>
                    <w:p w14:paraId="488D9C95" w14:textId="6B9F1EC5" w:rsidR="00AE13F2" w:rsidRDefault="004C6902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Машины и оборудовани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, не включенные в другие группировки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1B542B5" w14:textId="77777777" w:rsidR="00AE13F2" w:rsidRPr="00B07414" w:rsidRDefault="00B07414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Лекарственные средства и материалы, применяемые в медицинских целях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904A16F" w14:textId="6A8FB100" w:rsidR="003F351A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351A" w:rsidRPr="00B07414">
                        <w:rPr>
                          <w:kern w:val="24"/>
                          <w:sz w:val="22"/>
                          <w:szCs w:val="22"/>
                        </w:rPr>
                        <w:t>Компьютеры, электронные и оптические изделия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5864F14" w14:textId="05B59630" w:rsidR="003F351A" w:rsidRDefault="003F351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Готовые металлические изделия, кроме машин и оборудования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24F71E7" w14:textId="1F44F1CE" w:rsidR="003F351A" w:rsidRDefault="003F351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Прочие транспортные средства и оборудовани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BBBA1A6" w14:textId="32FD35B7" w:rsidR="00AE13F2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6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Металлы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246EDB0" w14:textId="77777777" w:rsidR="00AE13F2" w:rsidRPr="00B07414" w:rsidRDefault="00AE13F2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Напитки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E0BF8B7" w14:textId="77777777" w:rsidR="00AE13F2" w:rsidRDefault="00AE13F2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Электрическое оборудование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B4EF5F7" w14:textId="2EF6AB50" w:rsidR="00B07414" w:rsidRPr="00B07414" w:rsidRDefault="00AE13F2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AE13F2">
                        <w:rPr>
                          <w:b/>
                          <w:kern w:val="24"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Химические вещества и химические продукты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4C1197B" w14:textId="5D4189C8" w:rsidR="003F351A" w:rsidRPr="00B07414" w:rsidRDefault="00AE13F2" w:rsidP="003F351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3F351A" w:rsidRPr="00DC4DE7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Пищевые продукты.</w:t>
                      </w:r>
                    </w:p>
                    <w:p w14:paraId="042DD6CD" w14:textId="0BD22DE9" w:rsidR="00637F03" w:rsidRDefault="00510A2E" w:rsidP="00637F03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AE13F2"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Прочая неметаллическая минеральная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CE69A2B" w14:textId="73C69E7B" w:rsidR="004C6902" w:rsidRPr="003D0366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510A2E">
                        <w:rPr>
                          <w:b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Иная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2D70F" w14:textId="2A45B557" w:rsidR="00945518" w:rsidRPr="003D0366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commentRangeStart w:id="3"/>
      <w:commentRangeStart w:id="4"/>
      <w:r w:rsidRPr="00C732B0">
        <w:rPr>
          <w:i/>
          <w:sz w:val="20"/>
          <w:szCs w:val="20"/>
        </w:rPr>
        <w:t xml:space="preserve">Источник: </w:t>
      </w:r>
      <w:proofErr w:type="spellStart"/>
      <w:r w:rsidRPr="00C732B0">
        <w:rPr>
          <w:i/>
          <w:sz w:val="20"/>
          <w:szCs w:val="20"/>
        </w:rPr>
        <w:t>Петростат</w:t>
      </w:r>
      <w:commentRangeEnd w:id="3"/>
      <w:proofErr w:type="spellEnd"/>
      <w:r w:rsidR="00E04F4F">
        <w:rPr>
          <w:rStyle w:val="ae"/>
        </w:rPr>
        <w:commentReference w:id="3"/>
      </w:r>
      <w:commentRangeEnd w:id="4"/>
      <w:r w:rsidR="004D7EE0">
        <w:rPr>
          <w:rStyle w:val="ae"/>
        </w:rPr>
        <w:commentReference w:id="4"/>
      </w:r>
    </w:p>
    <w:p w14:paraId="547D3195" w14:textId="77777777" w:rsidR="008A43EC" w:rsidRPr="008A43EC" w:rsidRDefault="008A43EC" w:rsidP="00E24791">
      <w:pPr>
        <w:spacing w:after="0" w:line="240" w:lineRule="auto"/>
        <w:jc w:val="center"/>
        <w:rPr>
          <w:i/>
          <w:sz w:val="20"/>
          <w:szCs w:val="20"/>
        </w:rPr>
      </w:pPr>
    </w:p>
    <w:p w14:paraId="2AE5C6B5" w14:textId="5BCE4CE9" w:rsidR="00BB3866" w:rsidRPr="00F771A8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По итогам </w:t>
      </w:r>
      <w:r w:rsidR="00AE13F2">
        <w:rPr>
          <w:sz w:val="24"/>
          <w:szCs w:val="24"/>
        </w:rPr>
        <w:t>3</w:t>
      </w:r>
      <w:r w:rsidR="00B410A4">
        <w:rPr>
          <w:sz w:val="24"/>
          <w:szCs w:val="24"/>
        </w:rPr>
        <w:t>-го кварта</w:t>
      </w:r>
      <w:r w:rsidR="00C42DA1">
        <w:rPr>
          <w:sz w:val="24"/>
          <w:szCs w:val="24"/>
        </w:rPr>
        <w:t xml:space="preserve">ла </w:t>
      </w:r>
      <w:r w:rsidR="00B410A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</w:t>
      </w:r>
      <w:r>
        <w:rPr>
          <w:sz w:val="24"/>
        </w:rPr>
        <w:t xml:space="preserve"> </w:t>
      </w:r>
      <w:r w:rsidRPr="00F771A8">
        <w:rPr>
          <w:sz w:val="24"/>
        </w:rPr>
        <w:t>наибольшая доля инвестиций (</w:t>
      </w:r>
      <w:r w:rsidR="00F771A8" w:rsidRPr="00F771A8">
        <w:rPr>
          <w:sz w:val="24"/>
        </w:rPr>
        <w:t xml:space="preserve">рис. </w:t>
      </w:r>
      <w:r w:rsidR="00F771A8">
        <w:rPr>
          <w:sz w:val="24"/>
        </w:rPr>
        <w:t>3</w:t>
      </w:r>
      <w:r w:rsidRPr="00F771A8">
        <w:rPr>
          <w:sz w:val="24"/>
        </w:rPr>
        <w:t xml:space="preserve">) в основной капитал </w:t>
      </w:r>
      <w:r w:rsidR="00D52231" w:rsidRPr="00F771A8">
        <w:rPr>
          <w:sz w:val="24"/>
        </w:rPr>
        <w:t>в</w:t>
      </w:r>
      <w:r w:rsidRPr="00F771A8">
        <w:rPr>
          <w:sz w:val="24"/>
        </w:rPr>
        <w:t> обрабатывающих производствах Санкт-Петербурга пришлась на</w:t>
      </w:r>
      <w:r w:rsidR="00233969">
        <w:rPr>
          <w:sz w:val="24"/>
        </w:rPr>
        <w:t xml:space="preserve"> производство</w:t>
      </w:r>
      <w:r w:rsidR="00BB3866" w:rsidRPr="00F771A8">
        <w:rPr>
          <w:sz w:val="24"/>
        </w:rPr>
        <w:t xml:space="preserve"> </w:t>
      </w:r>
      <w:r w:rsidR="00233969">
        <w:rPr>
          <w:sz w:val="24"/>
        </w:rPr>
        <w:t>м</w:t>
      </w:r>
      <w:r w:rsidR="00233969" w:rsidRPr="00233969">
        <w:rPr>
          <w:sz w:val="24"/>
        </w:rPr>
        <w:t xml:space="preserve">ашин </w:t>
      </w:r>
      <w:r w:rsidR="001E1AEF">
        <w:rPr>
          <w:sz w:val="24"/>
        </w:rPr>
        <w:br/>
      </w:r>
      <w:r w:rsidR="00233969" w:rsidRPr="00233969">
        <w:rPr>
          <w:sz w:val="24"/>
        </w:rPr>
        <w:t>и оборудования, не включенны</w:t>
      </w:r>
      <w:r w:rsidR="00233969">
        <w:rPr>
          <w:sz w:val="24"/>
        </w:rPr>
        <w:t>х</w:t>
      </w:r>
      <w:r w:rsidR="00233969" w:rsidRPr="00233969">
        <w:rPr>
          <w:sz w:val="24"/>
        </w:rPr>
        <w:t xml:space="preserve"> в другие группировки</w:t>
      </w:r>
      <w:r w:rsidR="00233969">
        <w:rPr>
          <w:sz w:val="24"/>
        </w:rPr>
        <w:t xml:space="preserve"> (</w:t>
      </w:r>
      <w:r w:rsidRPr="00F771A8">
        <w:rPr>
          <w:sz w:val="24"/>
        </w:rPr>
        <w:t>ИФО – 1</w:t>
      </w:r>
      <w:r w:rsidR="00233969">
        <w:rPr>
          <w:sz w:val="24"/>
        </w:rPr>
        <w:t>90</w:t>
      </w:r>
      <w:r w:rsidRPr="00F771A8">
        <w:rPr>
          <w:sz w:val="24"/>
        </w:rPr>
        <w:t>%</w:t>
      </w:r>
      <w:r w:rsidR="00233969">
        <w:rPr>
          <w:sz w:val="24"/>
        </w:rPr>
        <w:t>)</w:t>
      </w:r>
      <w:r w:rsidRPr="00F771A8">
        <w:rPr>
          <w:sz w:val="24"/>
        </w:rPr>
        <w:t>.</w:t>
      </w:r>
      <w:r w:rsidR="00BB3866" w:rsidRPr="00F771A8">
        <w:rPr>
          <w:sz w:val="24"/>
        </w:rPr>
        <w:t xml:space="preserve"> </w:t>
      </w:r>
      <w:r w:rsidR="00233969">
        <w:rPr>
          <w:sz w:val="24"/>
        </w:rPr>
        <w:t xml:space="preserve">Столь большой объем капиталовложений в сектор обусловлен строительством </w:t>
      </w:r>
      <w:r w:rsidR="00233969" w:rsidRPr="00233969">
        <w:rPr>
          <w:sz w:val="24"/>
        </w:rPr>
        <w:t>крупн</w:t>
      </w:r>
      <w:r w:rsidR="00233969">
        <w:rPr>
          <w:sz w:val="24"/>
        </w:rPr>
        <w:t>ого</w:t>
      </w:r>
      <w:r w:rsidR="00233969" w:rsidRPr="00233969">
        <w:rPr>
          <w:sz w:val="24"/>
        </w:rPr>
        <w:t xml:space="preserve"> станкостроительн</w:t>
      </w:r>
      <w:r w:rsidR="00233969">
        <w:rPr>
          <w:sz w:val="24"/>
        </w:rPr>
        <w:t>ого</w:t>
      </w:r>
      <w:r w:rsidR="00233969" w:rsidRPr="00233969">
        <w:rPr>
          <w:sz w:val="24"/>
        </w:rPr>
        <w:t xml:space="preserve"> завод</w:t>
      </w:r>
      <w:r w:rsidR="00233969">
        <w:rPr>
          <w:sz w:val="24"/>
        </w:rPr>
        <w:t>а на территории Особой экономической зоны «Санкт-Петербург»</w:t>
      </w:r>
      <w:r w:rsidR="00296C1E">
        <w:rPr>
          <w:sz w:val="24"/>
        </w:rPr>
        <w:t xml:space="preserve"> (далее – ОЭЗ)</w:t>
      </w:r>
      <w:r w:rsidR="00233969">
        <w:rPr>
          <w:sz w:val="24"/>
        </w:rPr>
        <w:t>.</w:t>
      </w:r>
      <w:commentRangeStart w:id="5"/>
      <w:commentRangeStart w:id="6"/>
      <w:r w:rsidR="00233969">
        <w:rPr>
          <w:rStyle w:val="ab"/>
          <w:sz w:val="24"/>
        </w:rPr>
        <w:footnoteReference w:id="3"/>
      </w:r>
      <w:commentRangeEnd w:id="5"/>
      <w:r w:rsidR="00E04F4F">
        <w:rPr>
          <w:rStyle w:val="ae"/>
        </w:rPr>
        <w:commentReference w:id="5"/>
      </w:r>
      <w:commentRangeEnd w:id="6"/>
      <w:r w:rsidR="004D7EE0">
        <w:rPr>
          <w:rStyle w:val="ae"/>
        </w:rPr>
        <w:commentReference w:id="6"/>
      </w:r>
    </w:p>
    <w:p w14:paraId="49E3599B" w14:textId="2D34463F" w:rsidR="008F248C" w:rsidRPr="00234E8E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Наибольший рост инвестиций (</w:t>
      </w:r>
      <w:r w:rsidR="0035252C">
        <w:rPr>
          <w:sz w:val="24"/>
        </w:rPr>
        <w:t>2</w:t>
      </w:r>
      <w:r w:rsidR="00233969">
        <w:rPr>
          <w:sz w:val="24"/>
        </w:rPr>
        <w:t>0</w:t>
      </w:r>
      <w:r w:rsidR="0035252C">
        <w:rPr>
          <w:sz w:val="24"/>
        </w:rPr>
        <w:t>0</w:t>
      </w:r>
      <w:r w:rsidRPr="00F771A8">
        <w:rPr>
          <w:sz w:val="24"/>
        </w:rPr>
        <w:t>%)</w:t>
      </w:r>
      <w:r w:rsidR="002B0274" w:rsidRPr="00F771A8">
        <w:rPr>
          <w:sz w:val="24"/>
        </w:rPr>
        <w:t xml:space="preserve"> зафиксирован</w:t>
      </w:r>
      <w:r w:rsidRPr="00F771A8">
        <w:rPr>
          <w:sz w:val="24"/>
        </w:rPr>
        <w:t xml:space="preserve"> в </w:t>
      </w:r>
      <w:r w:rsidR="008F248C" w:rsidRPr="00F771A8">
        <w:rPr>
          <w:sz w:val="24"/>
        </w:rPr>
        <w:t>производств</w:t>
      </w:r>
      <w:r w:rsidRPr="00F771A8">
        <w:rPr>
          <w:sz w:val="24"/>
        </w:rPr>
        <w:t>е</w:t>
      </w:r>
      <w:r w:rsidR="00233969">
        <w:rPr>
          <w:sz w:val="24"/>
        </w:rPr>
        <w:t xml:space="preserve"> электрического оборудования и производстве</w:t>
      </w:r>
      <w:r w:rsidR="008F248C" w:rsidRPr="00F771A8">
        <w:rPr>
          <w:sz w:val="24"/>
        </w:rPr>
        <w:t xml:space="preserve"> </w:t>
      </w:r>
      <w:r w:rsidR="000A7963">
        <w:rPr>
          <w:sz w:val="24"/>
        </w:rPr>
        <w:t>химических веществ и продуктов</w:t>
      </w:r>
      <w:r w:rsidR="008F248C" w:rsidRPr="00F771A8">
        <w:rPr>
          <w:sz w:val="24"/>
        </w:rPr>
        <w:t>.</w:t>
      </w:r>
      <w:r w:rsidR="00234E8E">
        <w:rPr>
          <w:sz w:val="24"/>
        </w:rPr>
        <w:t xml:space="preserve"> </w:t>
      </w:r>
      <w:r w:rsidR="00233969">
        <w:rPr>
          <w:sz w:val="24"/>
        </w:rPr>
        <w:t xml:space="preserve">В обоих случаях рост капиталовложений </w:t>
      </w:r>
      <w:r w:rsidR="00296C1E">
        <w:rPr>
          <w:sz w:val="24"/>
        </w:rPr>
        <w:t xml:space="preserve">также произошел благодаря реализации инвестиционных проектов по созданию новых предприятий в ОЭЗ: </w:t>
      </w:r>
      <w:commentRangeStart w:id="7"/>
      <w:r w:rsidR="00296C1E">
        <w:rPr>
          <w:sz w:val="24"/>
        </w:rPr>
        <w:t>предприятия по производству косметики и завода электротехнического оборудования</w:t>
      </w:r>
      <w:r w:rsidR="00234E8E">
        <w:rPr>
          <w:sz w:val="24"/>
        </w:rPr>
        <w:t>.</w:t>
      </w:r>
      <w:r w:rsidR="00234E8E">
        <w:rPr>
          <w:rStyle w:val="ab"/>
          <w:sz w:val="24"/>
        </w:rPr>
        <w:footnoteReference w:id="4"/>
      </w:r>
      <w:r w:rsidR="00234E8E">
        <w:rPr>
          <w:sz w:val="24"/>
        </w:rPr>
        <w:t xml:space="preserve"> </w:t>
      </w:r>
      <w:r w:rsidR="00296C1E">
        <w:rPr>
          <w:rStyle w:val="ab"/>
          <w:sz w:val="24"/>
        </w:rPr>
        <w:footnoteReference w:id="5"/>
      </w:r>
      <w:commentRangeEnd w:id="7"/>
      <w:r w:rsidR="009607C5">
        <w:rPr>
          <w:rStyle w:val="ae"/>
        </w:rPr>
        <w:commentReference w:id="7"/>
      </w:r>
    </w:p>
    <w:p w14:paraId="0DFF284A" w14:textId="146977F0" w:rsidR="00234E8E" w:rsidRDefault="000949D1" w:rsidP="00296C1E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Среди отраслей обрабатывающей промышленности с объемом инвестиций в основной капитал более 2% з</w:t>
      </w:r>
      <w:r w:rsidR="00A008E9" w:rsidRPr="00F771A8">
        <w:rPr>
          <w:sz w:val="24"/>
        </w:rPr>
        <w:t>начительный рост был</w:t>
      </w:r>
      <w:r w:rsidR="00BA0486" w:rsidRPr="00F771A8">
        <w:rPr>
          <w:sz w:val="24"/>
        </w:rPr>
        <w:t xml:space="preserve"> также</w:t>
      </w:r>
      <w:r w:rsidR="00A008E9" w:rsidRPr="00F771A8">
        <w:rPr>
          <w:sz w:val="24"/>
        </w:rPr>
        <w:t xml:space="preserve"> продемонстрирован</w:t>
      </w:r>
      <w:r w:rsidR="00BA0486" w:rsidRPr="00F771A8">
        <w:rPr>
          <w:sz w:val="24"/>
        </w:rPr>
        <w:t xml:space="preserve"> в производстве</w:t>
      </w:r>
      <w:r w:rsidR="00296C1E">
        <w:rPr>
          <w:sz w:val="24"/>
        </w:rPr>
        <w:t xml:space="preserve"> готовых металлических изделий, кроме машин и оборудования (170%), металлов (170%),</w:t>
      </w:r>
      <w:r w:rsidR="00BA0486" w:rsidRPr="00BA0486">
        <w:rPr>
          <w:sz w:val="24"/>
        </w:rPr>
        <w:t xml:space="preserve"> </w:t>
      </w:r>
      <w:r w:rsidR="000A7963" w:rsidRPr="00F771A8">
        <w:rPr>
          <w:sz w:val="24"/>
        </w:rPr>
        <w:t xml:space="preserve">прочих транспортных средств </w:t>
      </w:r>
      <w:r w:rsidR="001E1AEF">
        <w:rPr>
          <w:sz w:val="24"/>
        </w:rPr>
        <w:br/>
      </w:r>
      <w:r w:rsidR="000A7963" w:rsidRPr="00F771A8">
        <w:rPr>
          <w:sz w:val="24"/>
        </w:rPr>
        <w:t>и оборудования</w:t>
      </w:r>
      <w:r w:rsidR="00635594" w:rsidRPr="00F771A8">
        <w:rPr>
          <w:sz w:val="24"/>
        </w:rPr>
        <w:t xml:space="preserve"> (</w:t>
      </w:r>
      <w:r w:rsidR="00296C1E">
        <w:rPr>
          <w:sz w:val="24"/>
        </w:rPr>
        <w:t>160</w:t>
      </w:r>
      <w:r w:rsidR="00635594" w:rsidRPr="00F771A8">
        <w:rPr>
          <w:sz w:val="24"/>
        </w:rPr>
        <w:t>%)</w:t>
      </w:r>
      <w:r w:rsidR="000A7963">
        <w:rPr>
          <w:sz w:val="24"/>
        </w:rPr>
        <w:t>,</w:t>
      </w:r>
      <w:r w:rsidR="0035252C" w:rsidRPr="0035252C">
        <w:rPr>
          <w:sz w:val="24"/>
        </w:rPr>
        <w:t xml:space="preserve"> </w:t>
      </w:r>
      <w:r w:rsidR="00496932">
        <w:rPr>
          <w:sz w:val="24"/>
        </w:rPr>
        <w:t>напитков (1</w:t>
      </w:r>
      <w:r w:rsidR="00296C1E">
        <w:rPr>
          <w:sz w:val="24"/>
        </w:rPr>
        <w:t>60</w:t>
      </w:r>
      <w:r w:rsidR="00496932">
        <w:rPr>
          <w:sz w:val="24"/>
        </w:rPr>
        <w:t>%).</w:t>
      </w:r>
      <w:r w:rsidR="00234E8E">
        <w:rPr>
          <w:sz w:val="24"/>
        </w:rPr>
        <w:br w:type="page"/>
      </w:r>
    </w:p>
    <w:p w14:paraId="2F857183" w14:textId="41ABC6C0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3. Инвестиции в основной капитал (без субъектов малого предпринимательства) по источникам финансирования </w:t>
      </w:r>
    </w:p>
    <w:p w14:paraId="2D606D9B" w14:textId="240ECF1B" w:rsidR="00B70F00" w:rsidRPr="00F771A8" w:rsidRDefault="0006453C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70F00" w:rsidRPr="00C732B0">
        <w:rPr>
          <w:sz w:val="24"/>
          <w:szCs w:val="24"/>
        </w:rPr>
        <w:t>труктур</w:t>
      </w:r>
      <w:r>
        <w:rPr>
          <w:sz w:val="24"/>
          <w:szCs w:val="24"/>
        </w:rPr>
        <w:t>а</w:t>
      </w:r>
      <w:r w:rsidR="00B70F00" w:rsidRPr="00C732B0">
        <w:rPr>
          <w:sz w:val="24"/>
          <w:szCs w:val="24"/>
        </w:rPr>
        <w:t xml:space="preserve"> инвестиций в основной капитал по источникам финансирования</w:t>
      </w:r>
      <w:r w:rsidR="00F771A8">
        <w:rPr>
          <w:sz w:val="24"/>
          <w:szCs w:val="24"/>
        </w:rPr>
        <w:t xml:space="preserve"> (</w:t>
      </w:r>
      <w:r w:rsidR="00F771A8" w:rsidRPr="00F771A8">
        <w:rPr>
          <w:sz w:val="24"/>
        </w:rPr>
        <w:t xml:space="preserve">рис. </w:t>
      </w:r>
      <w:r w:rsidR="00F771A8">
        <w:rPr>
          <w:sz w:val="24"/>
        </w:rPr>
        <w:t>4</w:t>
      </w:r>
      <w:r w:rsidR="00F771A8" w:rsidRPr="00F771A8">
        <w:rPr>
          <w:sz w:val="24"/>
        </w:rPr>
        <w:t>)</w:t>
      </w:r>
      <w:r w:rsidR="00B70F00" w:rsidRPr="00C732B0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br/>
      </w:r>
      <w:r w:rsidR="00B70F00" w:rsidRPr="00C732B0">
        <w:rPr>
          <w:sz w:val="24"/>
          <w:szCs w:val="24"/>
        </w:rPr>
        <w:t xml:space="preserve">в </w:t>
      </w:r>
      <w:r w:rsidR="003F2187">
        <w:rPr>
          <w:sz w:val="24"/>
          <w:szCs w:val="24"/>
        </w:rPr>
        <w:t>3</w:t>
      </w:r>
      <w:r w:rsidR="00AC794A">
        <w:rPr>
          <w:sz w:val="24"/>
          <w:szCs w:val="24"/>
        </w:rPr>
        <w:t xml:space="preserve">-м квартале 2024 </w:t>
      </w:r>
      <w:r w:rsidR="00B70F00" w:rsidRPr="00C732B0">
        <w:rPr>
          <w:sz w:val="24"/>
          <w:szCs w:val="24"/>
        </w:rPr>
        <w:t>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F2187">
        <w:rPr>
          <w:sz w:val="24"/>
          <w:szCs w:val="24"/>
        </w:rPr>
        <w:t xml:space="preserve">не </w:t>
      </w:r>
      <w:r>
        <w:rPr>
          <w:sz w:val="24"/>
          <w:szCs w:val="24"/>
        </w:rPr>
        <w:t>претерпела изменени</w:t>
      </w:r>
      <w:r w:rsidR="003F2187">
        <w:rPr>
          <w:sz w:val="24"/>
          <w:szCs w:val="24"/>
        </w:rPr>
        <w:t>й</w:t>
      </w:r>
      <w:r>
        <w:rPr>
          <w:sz w:val="24"/>
          <w:szCs w:val="24"/>
        </w:rPr>
        <w:t>:</w:t>
      </w:r>
      <w:r w:rsidR="003F2187">
        <w:rPr>
          <w:sz w:val="24"/>
          <w:szCs w:val="24"/>
        </w:rPr>
        <w:t xml:space="preserve"> как и в </w:t>
      </w:r>
      <w:commentRangeStart w:id="8"/>
      <w:commentRangeStart w:id="9"/>
      <w:r w:rsidR="003F2187">
        <w:rPr>
          <w:sz w:val="24"/>
          <w:szCs w:val="24"/>
        </w:rPr>
        <w:t>3-м квартале 202</w:t>
      </w:r>
      <w:r w:rsidR="004D7EE0">
        <w:rPr>
          <w:sz w:val="24"/>
          <w:szCs w:val="24"/>
        </w:rPr>
        <w:t>3</w:t>
      </w:r>
      <w:r w:rsidR="003F2187">
        <w:rPr>
          <w:sz w:val="24"/>
          <w:szCs w:val="24"/>
        </w:rPr>
        <w:t xml:space="preserve"> </w:t>
      </w:r>
      <w:commentRangeEnd w:id="8"/>
      <w:r w:rsidR="00791830">
        <w:rPr>
          <w:rStyle w:val="ae"/>
        </w:rPr>
        <w:commentReference w:id="8"/>
      </w:r>
      <w:commentRangeEnd w:id="9"/>
      <w:r w:rsidR="004D7EE0">
        <w:rPr>
          <w:rStyle w:val="ae"/>
        </w:rPr>
        <w:commentReference w:id="9"/>
      </w:r>
      <w:r w:rsidR="003F2187" w:rsidRPr="00C732B0">
        <w:rPr>
          <w:sz w:val="24"/>
          <w:szCs w:val="24"/>
        </w:rPr>
        <w:t>год</w:t>
      </w:r>
      <w:r w:rsidR="003F2187">
        <w:rPr>
          <w:sz w:val="24"/>
          <w:szCs w:val="24"/>
        </w:rPr>
        <w:t>а</w:t>
      </w:r>
      <w:commentRangeStart w:id="10"/>
      <w:commentRangeStart w:id="11"/>
      <w:r w:rsidR="003F2187">
        <w:rPr>
          <w:sz w:val="24"/>
          <w:szCs w:val="24"/>
        </w:rPr>
        <w:t xml:space="preserve"> </w:t>
      </w:r>
      <w:commentRangeEnd w:id="10"/>
      <w:r w:rsidR="00E04F4F">
        <w:rPr>
          <w:rStyle w:val="ae"/>
        </w:rPr>
        <w:commentReference w:id="10"/>
      </w:r>
      <w:commentRangeEnd w:id="11"/>
      <w:r w:rsidR="004D7EE0">
        <w:rPr>
          <w:rStyle w:val="ae"/>
        </w:rPr>
        <w:commentReference w:id="11"/>
      </w:r>
      <w:r w:rsidR="004D7EE0">
        <w:rPr>
          <w:sz w:val="24"/>
          <w:szCs w:val="24"/>
        </w:rPr>
        <w:t>,</w:t>
      </w:r>
      <w:r w:rsidR="00431FB8">
        <w:rPr>
          <w:sz w:val="24"/>
          <w:szCs w:val="24"/>
        </w:rPr>
        <w:t xml:space="preserve">доля </w:t>
      </w:r>
      <w:r w:rsidR="00B70F00" w:rsidRPr="00C732B0">
        <w:rPr>
          <w:sz w:val="24"/>
          <w:szCs w:val="24"/>
        </w:rPr>
        <w:t>собственны</w:t>
      </w:r>
      <w:r w:rsidR="00431FB8">
        <w:rPr>
          <w:sz w:val="24"/>
          <w:szCs w:val="24"/>
        </w:rPr>
        <w:t>х</w:t>
      </w:r>
      <w:r w:rsidR="00B70F00" w:rsidRPr="00C732B0">
        <w:rPr>
          <w:sz w:val="24"/>
          <w:szCs w:val="24"/>
        </w:rPr>
        <w:t xml:space="preserve"> с</w:t>
      </w:r>
      <w:r w:rsidR="00431FB8">
        <w:rPr>
          <w:sz w:val="24"/>
          <w:szCs w:val="24"/>
        </w:rPr>
        <w:t>редств предприятий</w:t>
      </w:r>
      <w:r w:rsidR="00B70F00" w:rsidRPr="00C732B0">
        <w:rPr>
          <w:sz w:val="24"/>
          <w:szCs w:val="24"/>
        </w:rPr>
        <w:t xml:space="preserve"> </w:t>
      </w:r>
      <w:r w:rsidR="003F2187">
        <w:rPr>
          <w:sz w:val="24"/>
          <w:szCs w:val="24"/>
        </w:rPr>
        <w:t xml:space="preserve">составила </w:t>
      </w:r>
      <w:r w:rsidR="00AC794A">
        <w:rPr>
          <w:sz w:val="24"/>
          <w:szCs w:val="24"/>
        </w:rPr>
        <w:t>6</w:t>
      </w:r>
      <w:r w:rsidR="003F2187">
        <w:rPr>
          <w:sz w:val="24"/>
          <w:szCs w:val="24"/>
        </w:rPr>
        <w:t>3</w:t>
      </w:r>
      <w:r w:rsidR="00496932">
        <w:rPr>
          <w:sz w:val="24"/>
          <w:szCs w:val="24"/>
        </w:rPr>
        <w:t>,5</w:t>
      </w:r>
      <w:r w:rsidR="00431FB8" w:rsidRPr="00F771A8">
        <w:rPr>
          <w:sz w:val="24"/>
          <w:szCs w:val="24"/>
        </w:rPr>
        <w:t>%</w:t>
      </w:r>
      <w:r w:rsidR="003F2187">
        <w:rPr>
          <w:sz w:val="24"/>
          <w:szCs w:val="24"/>
        </w:rPr>
        <w:t xml:space="preserve"> (466,8 млрд руб.), </w:t>
      </w:r>
      <w:r w:rsidR="000D042E" w:rsidRPr="00F771A8">
        <w:rPr>
          <w:sz w:val="24"/>
          <w:szCs w:val="24"/>
        </w:rPr>
        <w:t xml:space="preserve">доля </w:t>
      </w:r>
      <w:r w:rsidR="00B70F00" w:rsidRPr="00F771A8">
        <w:rPr>
          <w:sz w:val="24"/>
          <w:szCs w:val="24"/>
        </w:rPr>
        <w:t>привлеченны</w:t>
      </w:r>
      <w:r w:rsidR="000D042E" w:rsidRPr="00F771A8">
        <w:rPr>
          <w:sz w:val="24"/>
          <w:szCs w:val="24"/>
        </w:rPr>
        <w:t>х</w:t>
      </w:r>
      <w:r w:rsidR="003F2187">
        <w:rPr>
          <w:sz w:val="24"/>
          <w:szCs w:val="24"/>
        </w:rPr>
        <w:t xml:space="preserve"> </w:t>
      </w:r>
      <w:r w:rsidR="00B70F00" w:rsidRPr="00F771A8">
        <w:rPr>
          <w:sz w:val="24"/>
          <w:szCs w:val="24"/>
        </w:rPr>
        <w:t xml:space="preserve">– </w:t>
      </w:r>
      <w:r w:rsidR="003F2187">
        <w:rPr>
          <w:sz w:val="24"/>
          <w:szCs w:val="24"/>
        </w:rPr>
        <w:t>36,5</w:t>
      </w:r>
      <w:r w:rsidR="00B70F00" w:rsidRPr="00F771A8">
        <w:rPr>
          <w:sz w:val="24"/>
          <w:szCs w:val="24"/>
        </w:rPr>
        <w:t>%</w:t>
      </w:r>
      <w:r w:rsidR="000D042E" w:rsidRPr="00F771A8">
        <w:rPr>
          <w:sz w:val="24"/>
          <w:szCs w:val="24"/>
        </w:rPr>
        <w:t xml:space="preserve"> (</w:t>
      </w:r>
      <w:r w:rsidR="003F2187">
        <w:rPr>
          <w:sz w:val="24"/>
          <w:szCs w:val="24"/>
        </w:rPr>
        <w:t>267,9</w:t>
      </w:r>
      <w:r w:rsidR="000D042E" w:rsidRPr="00F771A8">
        <w:rPr>
          <w:sz w:val="24"/>
          <w:szCs w:val="24"/>
        </w:rPr>
        <w:t xml:space="preserve"> млрд руб.)</w:t>
      </w:r>
      <w:r w:rsidR="00B70F00" w:rsidRPr="00F771A8">
        <w:rPr>
          <w:sz w:val="24"/>
          <w:szCs w:val="24"/>
        </w:rPr>
        <w:t>.</w:t>
      </w:r>
    </w:p>
    <w:p w14:paraId="25C298A9" w14:textId="6CDC5C83" w:rsidR="00386F53" w:rsidRPr="00386F53" w:rsidRDefault="00386F53" w:rsidP="00386F53">
      <w:pPr>
        <w:spacing w:before="240" w:after="0" w:line="240" w:lineRule="auto"/>
        <w:jc w:val="center"/>
        <w:rPr>
          <w:b/>
          <w:bCs/>
          <w:szCs w:val="24"/>
        </w:rPr>
      </w:pPr>
      <w:r w:rsidRPr="00386F53">
        <w:rPr>
          <w:b/>
          <w:bCs/>
          <w:szCs w:val="24"/>
        </w:rPr>
        <w:t>Рис. 4. Инвестиции в основной капитал (без субъектов малого предпринимательства) по источникам финансирования</w:t>
      </w:r>
      <w:r w:rsidR="00D913CA">
        <w:rPr>
          <w:b/>
          <w:bCs/>
          <w:szCs w:val="24"/>
        </w:rPr>
        <w:t xml:space="preserve"> за январь – </w:t>
      </w:r>
      <w:r w:rsidR="003F2187">
        <w:rPr>
          <w:b/>
          <w:bCs/>
          <w:szCs w:val="24"/>
        </w:rPr>
        <w:t>сентябрь</w:t>
      </w:r>
      <w:r>
        <w:rPr>
          <w:b/>
          <w:bCs/>
          <w:szCs w:val="24"/>
        </w:rPr>
        <w:t>, %</w:t>
      </w:r>
    </w:p>
    <w:p w14:paraId="0C276E31" w14:textId="5534BDBB" w:rsidR="00EF6602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37217">
        <w:rPr>
          <w:noProof/>
          <w:color w:val="808080"/>
          <w:sz w:val="24"/>
          <w:szCs w:val="24"/>
          <w:lang w:eastAsia="ru-RU"/>
        </w:rPr>
        <w:drawing>
          <wp:inline distT="0" distB="0" distL="0" distR="0" wp14:anchorId="7AF8A378" wp14:editId="18DCF8D9">
            <wp:extent cx="6644640" cy="4819650"/>
            <wp:effectExtent l="0" t="0" r="38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C732B0">
        <w:rPr>
          <w:i/>
          <w:sz w:val="20"/>
          <w:szCs w:val="20"/>
        </w:rPr>
        <w:t>Источник: Петростат</w:t>
      </w:r>
    </w:p>
    <w:p w14:paraId="21922302" w14:textId="56861316" w:rsidR="002A4B2B" w:rsidRDefault="002A4B2B" w:rsidP="002A4B2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заемных средств традиционно преобладают средства бюджета, составившие </w:t>
      </w:r>
      <w:r w:rsidR="00AC794A">
        <w:rPr>
          <w:sz w:val="24"/>
          <w:szCs w:val="24"/>
        </w:rPr>
        <w:t>19,</w:t>
      </w:r>
      <w:r w:rsidR="003F2187">
        <w:rPr>
          <w:sz w:val="24"/>
          <w:szCs w:val="24"/>
        </w:rPr>
        <w:t>2</w:t>
      </w:r>
      <w:r>
        <w:rPr>
          <w:sz w:val="24"/>
          <w:szCs w:val="24"/>
        </w:rPr>
        <w:t>% в</w:t>
      </w:r>
      <w:r w:rsidR="00AC794A">
        <w:rPr>
          <w:sz w:val="24"/>
          <w:szCs w:val="24"/>
        </w:rPr>
        <w:t xml:space="preserve"> январе –</w:t>
      </w:r>
      <w:r w:rsidR="004E6A4A">
        <w:rPr>
          <w:sz w:val="24"/>
          <w:szCs w:val="24"/>
        </w:rPr>
        <w:t xml:space="preserve"> </w:t>
      </w:r>
      <w:r w:rsidR="003F2187">
        <w:rPr>
          <w:sz w:val="24"/>
          <w:szCs w:val="24"/>
        </w:rPr>
        <w:t>сентябре</w:t>
      </w:r>
      <w:r w:rsidR="00AC794A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t>(</w:t>
      </w:r>
      <w:r w:rsidR="00323F11">
        <w:rPr>
          <w:sz w:val="24"/>
          <w:szCs w:val="24"/>
        </w:rPr>
        <w:t>-</w:t>
      </w:r>
      <w:r w:rsidR="003F2187">
        <w:rPr>
          <w:sz w:val="24"/>
          <w:szCs w:val="24"/>
        </w:rPr>
        <w:t>1,5</w:t>
      </w:r>
      <w:r w:rsidR="00AC794A">
        <w:rPr>
          <w:sz w:val="24"/>
          <w:szCs w:val="24"/>
        </w:rPr>
        <w:t xml:space="preserve"> </w:t>
      </w:r>
      <w:commentRangeStart w:id="12"/>
      <w:commentRangeStart w:id="13"/>
      <w:r w:rsidR="00AC794A">
        <w:rPr>
          <w:sz w:val="24"/>
          <w:szCs w:val="24"/>
        </w:rPr>
        <w:t>п.</w:t>
      </w:r>
      <w:r w:rsidR="004D7EE0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t xml:space="preserve">п. </w:t>
      </w:r>
      <w:r>
        <w:rPr>
          <w:sz w:val="24"/>
          <w:szCs w:val="24"/>
        </w:rPr>
        <w:t xml:space="preserve">по отношению к </w:t>
      </w:r>
      <w:r w:rsidR="00AC794A">
        <w:rPr>
          <w:sz w:val="24"/>
          <w:szCs w:val="24"/>
        </w:rPr>
        <w:t xml:space="preserve">аналогичному периоду </w:t>
      </w:r>
      <w:r>
        <w:rPr>
          <w:sz w:val="24"/>
          <w:szCs w:val="24"/>
        </w:rPr>
        <w:t>202</w:t>
      </w:r>
      <w:r w:rsidR="00AC794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). Доля кредитов банков снизилась на </w:t>
      </w:r>
      <w:r w:rsidR="004E6A4A">
        <w:rPr>
          <w:sz w:val="24"/>
          <w:szCs w:val="24"/>
        </w:rPr>
        <w:t>1</w:t>
      </w:r>
      <w:r w:rsidR="003F2187">
        <w:rPr>
          <w:sz w:val="24"/>
          <w:szCs w:val="24"/>
        </w:rPr>
        <w:t>,5</w:t>
      </w:r>
      <w:r>
        <w:rPr>
          <w:sz w:val="24"/>
          <w:szCs w:val="24"/>
        </w:rPr>
        <w:t xml:space="preserve"> п.</w:t>
      </w:r>
      <w:r w:rsidR="004D7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commentRangeEnd w:id="12"/>
      <w:r w:rsidR="003A720C">
        <w:rPr>
          <w:rStyle w:val="ae"/>
        </w:rPr>
        <w:commentReference w:id="12"/>
      </w:r>
      <w:commentRangeEnd w:id="13"/>
      <w:r w:rsidR="004D7EE0">
        <w:rPr>
          <w:rStyle w:val="ae"/>
        </w:rPr>
        <w:commentReference w:id="13"/>
      </w:r>
      <w:r>
        <w:rPr>
          <w:sz w:val="24"/>
          <w:szCs w:val="24"/>
        </w:rPr>
        <w:t xml:space="preserve">в </w:t>
      </w:r>
      <w:r w:rsidR="003F2187">
        <w:rPr>
          <w:sz w:val="24"/>
          <w:szCs w:val="24"/>
        </w:rPr>
        <w:t>3</w:t>
      </w:r>
      <w:r w:rsidR="00AC794A">
        <w:rPr>
          <w:sz w:val="24"/>
          <w:szCs w:val="24"/>
        </w:rPr>
        <w:t>-м квартале 2024</w:t>
      </w:r>
      <w:r>
        <w:rPr>
          <w:sz w:val="24"/>
          <w:szCs w:val="24"/>
        </w:rPr>
        <w:t xml:space="preserve"> год</w:t>
      </w:r>
      <w:r w:rsidR="00AC794A">
        <w:rPr>
          <w:sz w:val="24"/>
          <w:szCs w:val="24"/>
        </w:rPr>
        <w:t>а</w:t>
      </w:r>
      <w:r>
        <w:rPr>
          <w:sz w:val="24"/>
          <w:szCs w:val="24"/>
        </w:rPr>
        <w:t xml:space="preserve">, выйдя на уровень </w:t>
      </w:r>
      <w:r w:rsidR="003F2187">
        <w:rPr>
          <w:sz w:val="24"/>
          <w:szCs w:val="24"/>
        </w:rPr>
        <w:t>8</w:t>
      </w:r>
      <w:r w:rsidR="004E6A4A">
        <w:rPr>
          <w:sz w:val="24"/>
          <w:szCs w:val="24"/>
        </w:rPr>
        <w:t>,3</w:t>
      </w:r>
      <w:r>
        <w:rPr>
          <w:sz w:val="24"/>
          <w:szCs w:val="24"/>
        </w:rPr>
        <w:t>%</w:t>
      </w:r>
      <w:r w:rsidRPr="002A4B2B">
        <w:rPr>
          <w:sz w:val="24"/>
          <w:szCs w:val="24"/>
        </w:rPr>
        <w:t xml:space="preserve"> </w:t>
      </w:r>
      <w:r>
        <w:rPr>
          <w:sz w:val="24"/>
          <w:szCs w:val="24"/>
        </w:rPr>
        <w:t>вследствие удорожания заемных средств на фоне повышения ключевой ставки Банком России.</w:t>
      </w:r>
    </w:p>
    <w:p w14:paraId="52D7D74E" w14:textId="1246CC2F" w:rsidR="006F5209" w:rsidRDefault="006F5209" w:rsidP="000D042E">
      <w:pPr>
        <w:spacing w:line="240" w:lineRule="auto"/>
        <w:ind w:firstLine="567"/>
        <w:jc w:val="both"/>
        <w:rPr>
          <w:sz w:val="24"/>
          <w:szCs w:val="24"/>
        </w:rPr>
      </w:pPr>
    </w:p>
    <w:p w14:paraId="1734E92A" w14:textId="63E1AB00" w:rsidR="000D042E" w:rsidRDefault="000D04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DAC48D" w14:textId="4A838EAA" w:rsidR="00B70F00" w:rsidRDefault="00B70F00" w:rsidP="00E24791">
      <w:pPr>
        <w:pStyle w:val="a7"/>
        <w:tabs>
          <w:tab w:val="left" w:pos="993"/>
        </w:tabs>
        <w:spacing w:line="240" w:lineRule="auto"/>
        <w:ind w:left="567"/>
        <w:contextualSpacing w:val="0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4. </w:t>
      </w:r>
      <w:r w:rsidRPr="00D33AA1">
        <w:rPr>
          <w:b/>
          <w:sz w:val="24"/>
          <w:szCs w:val="24"/>
        </w:rPr>
        <w:t>Видовая структура инвестиций в основной капитал</w:t>
      </w:r>
    </w:p>
    <w:p w14:paraId="3404F2F7" w14:textId="14F7C6B8" w:rsidR="000D042E" w:rsidRPr="000D042E" w:rsidRDefault="000D042E" w:rsidP="000D042E">
      <w:pPr>
        <w:spacing w:before="240" w:after="0" w:line="240" w:lineRule="auto"/>
        <w:jc w:val="center"/>
        <w:rPr>
          <w:b/>
          <w:bCs/>
          <w:szCs w:val="24"/>
        </w:rPr>
      </w:pPr>
      <w:r w:rsidRPr="000D042E">
        <w:rPr>
          <w:b/>
          <w:bCs/>
          <w:szCs w:val="24"/>
        </w:rPr>
        <w:t>Рис. 5. Видовая структура инвестиций в основной капитал</w:t>
      </w:r>
      <w:r w:rsidR="00DC4DE7">
        <w:rPr>
          <w:b/>
          <w:bCs/>
          <w:szCs w:val="24"/>
        </w:rPr>
        <w:t xml:space="preserve"> в январе </w:t>
      </w:r>
      <w:r w:rsidR="004E6A4A">
        <w:rPr>
          <w:sz w:val="24"/>
          <w:szCs w:val="24"/>
        </w:rPr>
        <w:t>–</w:t>
      </w:r>
      <w:r w:rsidR="00DC4DE7">
        <w:rPr>
          <w:b/>
          <w:bCs/>
          <w:szCs w:val="24"/>
        </w:rPr>
        <w:t xml:space="preserve"> </w:t>
      </w:r>
      <w:r w:rsidR="00211EA2">
        <w:rPr>
          <w:b/>
          <w:bCs/>
          <w:szCs w:val="24"/>
        </w:rPr>
        <w:t>сентябр</w:t>
      </w:r>
      <w:r w:rsidR="0038790C">
        <w:rPr>
          <w:b/>
          <w:bCs/>
          <w:szCs w:val="24"/>
        </w:rPr>
        <w:t>е</w:t>
      </w:r>
      <w:r w:rsidRPr="000D042E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%</w:t>
      </w:r>
    </w:p>
    <w:p w14:paraId="1729456B" w14:textId="48255CFA" w:rsidR="00B70F00" w:rsidRPr="00B34C0E" w:rsidRDefault="00312514" w:rsidP="00E24791">
      <w:pPr>
        <w:pStyle w:val="a7"/>
        <w:tabs>
          <w:tab w:val="left" w:pos="993"/>
        </w:tabs>
        <w:spacing w:before="24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D06B68">
        <w:rPr>
          <w:noProof/>
          <w:color w:val="007F7F" w:themeColor="background1" w:themeShade="40"/>
          <w:sz w:val="24"/>
          <w:szCs w:val="24"/>
          <w:lang w:eastAsia="ru-RU"/>
        </w:rPr>
        <w:drawing>
          <wp:inline distT="0" distB="0" distL="0" distR="0" wp14:anchorId="5C6CCF17" wp14:editId="06654249">
            <wp:extent cx="6480175" cy="1933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58D1C5" w14:textId="595247AB" w:rsidR="00B70F00" w:rsidRPr="00B1500C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C30D8">
        <w:rPr>
          <w:i/>
          <w:sz w:val="20"/>
          <w:szCs w:val="20"/>
        </w:rPr>
        <w:t xml:space="preserve">Источник: </w:t>
      </w:r>
      <w:proofErr w:type="spellStart"/>
      <w:r w:rsidRPr="00DC30D8">
        <w:rPr>
          <w:i/>
          <w:sz w:val="20"/>
          <w:szCs w:val="20"/>
        </w:rPr>
        <w:t>Петростат</w:t>
      </w:r>
      <w:proofErr w:type="spellEnd"/>
    </w:p>
    <w:p w14:paraId="64918FB2" w14:textId="7F8ABD34" w:rsidR="009D18DC" w:rsidRPr="00C575EB" w:rsidRDefault="009D18DC" w:rsidP="00211EA2">
      <w:pPr>
        <w:spacing w:afterLines="40" w:after="96" w:line="240" w:lineRule="auto"/>
        <w:ind w:firstLine="567"/>
        <w:jc w:val="both"/>
        <w:rPr>
          <w:sz w:val="24"/>
          <w:szCs w:val="24"/>
        </w:rPr>
      </w:pPr>
      <w:r w:rsidRPr="00C575EB">
        <w:rPr>
          <w:sz w:val="24"/>
          <w:szCs w:val="24"/>
        </w:rPr>
        <w:t>По итогам</w:t>
      </w:r>
      <w:r w:rsidR="00DC4DE7">
        <w:rPr>
          <w:sz w:val="24"/>
          <w:szCs w:val="24"/>
        </w:rPr>
        <w:t xml:space="preserve"> </w:t>
      </w:r>
      <w:r w:rsidR="00323F11">
        <w:rPr>
          <w:sz w:val="24"/>
          <w:szCs w:val="24"/>
        </w:rPr>
        <w:t>3</w:t>
      </w:r>
      <w:r w:rsidR="00DC4DE7">
        <w:rPr>
          <w:sz w:val="24"/>
          <w:szCs w:val="24"/>
        </w:rPr>
        <w:t>-го квартала</w:t>
      </w:r>
      <w:r w:rsidR="00B1500C" w:rsidRPr="00C575EB">
        <w:rPr>
          <w:sz w:val="24"/>
          <w:szCs w:val="24"/>
        </w:rPr>
        <w:t xml:space="preserve"> </w:t>
      </w:r>
      <w:r w:rsidRPr="00C575EB">
        <w:rPr>
          <w:sz w:val="24"/>
          <w:szCs w:val="24"/>
        </w:rPr>
        <w:t>202</w:t>
      </w:r>
      <w:r w:rsidR="00DC4DE7">
        <w:rPr>
          <w:sz w:val="24"/>
          <w:szCs w:val="24"/>
        </w:rPr>
        <w:t>4</w:t>
      </w:r>
      <w:r w:rsidRPr="00C575EB">
        <w:rPr>
          <w:sz w:val="24"/>
          <w:szCs w:val="24"/>
        </w:rPr>
        <w:t xml:space="preserve"> года отмечены </w:t>
      </w:r>
      <w:r w:rsidR="00B1500C" w:rsidRPr="00C575EB">
        <w:rPr>
          <w:sz w:val="24"/>
          <w:szCs w:val="24"/>
        </w:rPr>
        <w:t xml:space="preserve">следующие </w:t>
      </w:r>
      <w:r w:rsidRPr="00C575EB">
        <w:rPr>
          <w:sz w:val="24"/>
          <w:szCs w:val="24"/>
        </w:rPr>
        <w:t>изменения в видовой структуре инвестиций по сравнению с аналогичным периодом 202</w:t>
      </w:r>
      <w:r w:rsidR="00DC4DE7">
        <w:rPr>
          <w:sz w:val="24"/>
          <w:szCs w:val="24"/>
        </w:rPr>
        <w:t>3</w:t>
      </w:r>
      <w:r w:rsidRPr="00C575EB">
        <w:rPr>
          <w:sz w:val="24"/>
          <w:szCs w:val="24"/>
        </w:rPr>
        <w:t xml:space="preserve"> года: </w:t>
      </w:r>
    </w:p>
    <w:p w14:paraId="3CC837AD" w14:textId="6FF97C4C" w:rsidR="00211EA2" w:rsidRPr="00BB1FAC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Pr="00161612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увеличение</w:t>
      </w:r>
      <w:r w:rsidRPr="00C575EB">
        <w:rPr>
          <w:sz w:val="24"/>
          <w:szCs w:val="24"/>
        </w:rPr>
        <w:t xml:space="preserve"> доли инвестиций в </w:t>
      </w:r>
      <w:r w:rsidRPr="00C575EB">
        <w:rPr>
          <w:i/>
          <w:sz w:val="24"/>
          <w:szCs w:val="24"/>
        </w:rPr>
        <w:t>машины и оборудование</w:t>
      </w:r>
      <w:r w:rsidRPr="00C575EB">
        <w:rPr>
          <w:sz w:val="24"/>
          <w:szCs w:val="24"/>
        </w:rPr>
        <w:t xml:space="preserve"> (</w:t>
      </w:r>
      <w:r>
        <w:rPr>
          <w:sz w:val="24"/>
          <w:szCs w:val="24"/>
        </w:rPr>
        <w:t>52,8</w:t>
      </w:r>
      <w:r w:rsidRPr="00C575EB">
        <w:rPr>
          <w:sz w:val="24"/>
          <w:szCs w:val="24"/>
        </w:rPr>
        <w:t xml:space="preserve">% против </w:t>
      </w:r>
      <w:r>
        <w:rPr>
          <w:sz w:val="24"/>
          <w:szCs w:val="24"/>
        </w:rPr>
        <w:t>51,9</w:t>
      </w:r>
      <w:r w:rsidRPr="00C575EB">
        <w:rPr>
          <w:sz w:val="24"/>
          <w:szCs w:val="24"/>
        </w:rPr>
        <w:t>%);</w:t>
      </w:r>
      <w:r w:rsidRPr="00C575EB">
        <w:rPr>
          <w:sz w:val="24"/>
          <w:szCs w:val="24"/>
          <w:lang w:val="en-US"/>
        </w:rPr>
        <w:t> </w:t>
      </w:r>
    </w:p>
    <w:p w14:paraId="680CC9B4" w14:textId="0AB71056" w:rsidR="00211EA2" w:rsidRPr="00C575EB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Pr="00C575EB">
        <w:rPr>
          <w:color w:val="C00000"/>
          <w:sz w:val="24"/>
        </w:rPr>
        <w:t xml:space="preserve"> </w:t>
      </w:r>
      <w:r>
        <w:rPr>
          <w:sz w:val="24"/>
          <w:szCs w:val="24"/>
        </w:rPr>
        <w:t>повышение</w:t>
      </w:r>
      <w:r w:rsidRPr="00C575EB">
        <w:rPr>
          <w:sz w:val="24"/>
          <w:szCs w:val="24"/>
        </w:rPr>
        <w:t xml:space="preserve"> доли инвестиций в </w:t>
      </w:r>
      <w:r w:rsidRPr="00C575EB">
        <w:rPr>
          <w:i/>
          <w:sz w:val="24"/>
          <w:szCs w:val="24"/>
        </w:rPr>
        <w:t>здания (кроме жилых), сооружения, расходы на улучшение земель</w:t>
      </w:r>
      <w:r w:rsidRPr="00C575EB">
        <w:rPr>
          <w:sz w:val="24"/>
          <w:szCs w:val="24"/>
        </w:rPr>
        <w:t xml:space="preserve"> (</w:t>
      </w:r>
      <w:r>
        <w:rPr>
          <w:sz w:val="24"/>
          <w:szCs w:val="24"/>
        </w:rPr>
        <w:t>29,5</w:t>
      </w:r>
      <w:r w:rsidRPr="00C575EB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28,4</w:t>
      </w:r>
      <w:r w:rsidRPr="00C575EB">
        <w:rPr>
          <w:sz w:val="24"/>
          <w:szCs w:val="24"/>
        </w:rPr>
        <w:t>%);</w:t>
      </w:r>
    </w:p>
    <w:p w14:paraId="7C95D25C" w14:textId="4EB81264" w:rsidR="00211EA2" w:rsidRPr="00211EA2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 w:rsidRPr="00C575EB">
        <w:rPr>
          <w:color w:val="C00000"/>
          <w:sz w:val="24"/>
          <w:lang w:val="en-US"/>
        </w:rPr>
        <w:t> </w:t>
      </w:r>
      <w:r w:rsidRPr="00C575EB">
        <w:rPr>
          <w:sz w:val="24"/>
          <w:szCs w:val="24"/>
        </w:rPr>
        <w:t xml:space="preserve">снижение доли инвестиций в жилые </w:t>
      </w:r>
      <w:r w:rsidRPr="00C575EB">
        <w:rPr>
          <w:i/>
          <w:sz w:val="24"/>
          <w:szCs w:val="24"/>
        </w:rPr>
        <w:t>здания и помещения</w:t>
      </w:r>
      <w:r w:rsidRPr="00C575EB">
        <w:rPr>
          <w:sz w:val="24"/>
          <w:szCs w:val="24"/>
        </w:rPr>
        <w:t xml:space="preserve"> (</w:t>
      </w:r>
      <w:r>
        <w:rPr>
          <w:sz w:val="24"/>
          <w:szCs w:val="24"/>
        </w:rPr>
        <w:t>8,5%</w:t>
      </w:r>
      <w:r w:rsidRPr="00C575EB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9,8</w:t>
      </w:r>
      <w:r w:rsidRPr="00211EA2">
        <w:rPr>
          <w:sz w:val="24"/>
          <w:szCs w:val="24"/>
        </w:rPr>
        <w:t>%);</w:t>
      </w:r>
    </w:p>
    <w:p w14:paraId="3052200B" w14:textId="7E06AE44" w:rsidR="00211EA2" w:rsidRPr="00211EA2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>
        <w:rPr>
          <w:b/>
          <w:color w:val="C00000"/>
          <w:sz w:val="24"/>
        </w:rPr>
        <w:t xml:space="preserve"> </w:t>
      </w:r>
      <w:r>
        <w:rPr>
          <w:sz w:val="24"/>
          <w:szCs w:val="24"/>
        </w:rPr>
        <w:t>сокращение</w:t>
      </w:r>
      <w:r w:rsidRPr="00C575EB">
        <w:rPr>
          <w:sz w:val="24"/>
          <w:szCs w:val="24"/>
        </w:rPr>
        <w:t xml:space="preserve"> доли инвестиций в </w:t>
      </w:r>
      <w:r w:rsidRPr="00C575EB">
        <w:rPr>
          <w:i/>
          <w:sz w:val="24"/>
          <w:szCs w:val="24"/>
        </w:rPr>
        <w:t>объекты интеллектуальной собственности</w:t>
      </w:r>
      <w:r w:rsidRPr="00C575EB">
        <w:rPr>
          <w:sz w:val="24"/>
          <w:szCs w:val="24"/>
        </w:rPr>
        <w:t xml:space="preserve"> (</w:t>
      </w:r>
      <w:r>
        <w:rPr>
          <w:sz w:val="24"/>
          <w:szCs w:val="24"/>
        </w:rPr>
        <w:t>7,6</w:t>
      </w:r>
      <w:r w:rsidRPr="00C575EB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7,9</w:t>
      </w:r>
      <w:r w:rsidRPr="00C575EB">
        <w:rPr>
          <w:sz w:val="24"/>
          <w:szCs w:val="24"/>
        </w:rPr>
        <w:t>%);</w:t>
      </w:r>
    </w:p>
    <w:p w14:paraId="1AB409BC" w14:textId="0B3CF945" w:rsidR="00211EA2" w:rsidRPr="00C575EB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 w:rsidRPr="00C575EB">
        <w:rPr>
          <w:color w:val="C00000"/>
          <w:sz w:val="24"/>
        </w:rPr>
        <w:t xml:space="preserve"> </w:t>
      </w:r>
      <w:r>
        <w:rPr>
          <w:sz w:val="24"/>
          <w:szCs w:val="24"/>
        </w:rPr>
        <w:t>падение</w:t>
      </w:r>
      <w:r w:rsidRPr="00C575EB">
        <w:rPr>
          <w:sz w:val="24"/>
          <w:szCs w:val="24"/>
        </w:rPr>
        <w:t xml:space="preserve"> доли </w:t>
      </w:r>
      <w:r w:rsidRPr="00C575EB">
        <w:rPr>
          <w:i/>
          <w:sz w:val="24"/>
          <w:szCs w:val="24"/>
        </w:rPr>
        <w:t>прочих инвестиций</w:t>
      </w:r>
      <w:r w:rsidRPr="00C575EB">
        <w:rPr>
          <w:sz w:val="24"/>
          <w:szCs w:val="24"/>
        </w:rPr>
        <w:t xml:space="preserve"> (1,</w:t>
      </w:r>
      <w:r>
        <w:rPr>
          <w:sz w:val="24"/>
          <w:szCs w:val="24"/>
        </w:rPr>
        <w:t>6</w:t>
      </w:r>
      <w:r w:rsidRPr="00C575EB">
        <w:rPr>
          <w:sz w:val="24"/>
          <w:szCs w:val="24"/>
        </w:rPr>
        <w:t xml:space="preserve">% против </w:t>
      </w:r>
      <w:r>
        <w:rPr>
          <w:sz w:val="24"/>
          <w:szCs w:val="24"/>
        </w:rPr>
        <w:t>2</w:t>
      </w:r>
      <w:r w:rsidRPr="00C575EB">
        <w:rPr>
          <w:sz w:val="24"/>
          <w:szCs w:val="24"/>
        </w:rPr>
        <w:t>%).</w:t>
      </w:r>
    </w:p>
    <w:p w14:paraId="321ED9AD" w14:textId="77777777" w:rsidR="009D18DC" w:rsidRPr="002929A2" w:rsidRDefault="009D18DC" w:rsidP="00E24791">
      <w:pPr>
        <w:spacing w:after="0" w:line="240" w:lineRule="auto"/>
        <w:rPr>
          <w:i/>
          <w:sz w:val="16"/>
          <w:szCs w:val="16"/>
        </w:rPr>
      </w:pPr>
    </w:p>
    <w:p w14:paraId="281C7AFA" w14:textId="74D40E3C" w:rsidR="00B50BE7" w:rsidRPr="00BC52D1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EF6602">
        <w:rPr>
          <w:b/>
          <w:sz w:val="24"/>
          <w:szCs w:val="24"/>
        </w:rPr>
        <w:t>5. Сравнение с регионами</w:t>
      </w:r>
      <w:r w:rsidR="00B50BE7" w:rsidRPr="00B50BE7">
        <w:rPr>
          <w:b/>
          <w:sz w:val="24"/>
          <w:szCs w:val="24"/>
        </w:rPr>
        <w:t>-</w:t>
      </w:r>
      <w:r w:rsidRPr="00EF6602">
        <w:rPr>
          <w:b/>
          <w:sz w:val="24"/>
          <w:szCs w:val="24"/>
        </w:rPr>
        <w:t>«лидерами»</w:t>
      </w:r>
      <w:r w:rsidR="00032C3F" w:rsidRPr="00EF6602">
        <w:rPr>
          <w:b/>
          <w:sz w:val="24"/>
          <w:szCs w:val="24"/>
        </w:rPr>
        <w:t xml:space="preserve"> </w:t>
      </w:r>
      <w:r w:rsidR="00491F12" w:rsidRPr="00EF6602">
        <w:rPr>
          <w:b/>
          <w:sz w:val="24"/>
          <w:szCs w:val="24"/>
        </w:rPr>
        <w:t xml:space="preserve">в </w:t>
      </w:r>
      <w:r w:rsidR="00DB2C84">
        <w:rPr>
          <w:b/>
          <w:sz w:val="24"/>
          <w:szCs w:val="24"/>
        </w:rPr>
        <w:t>3</w:t>
      </w:r>
      <w:r w:rsidR="00161612">
        <w:rPr>
          <w:b/>
          <w:sz w:val="24"/>
          <w:szCs w:val="24"/>
        </w:rPr>
        <w:t>-м квартале 2024 года</w:t>
      </w:r>
    </w:p>
    <w:tbl>
      <w:tblPr>
        <w:tblStyle w:val="a8"/>
        <w:tblW w:w="9570" w:type="dxa"/>
        <w:jc w:val="center"/>
        <w:tblBorders>
          <w:top w:val="single" w:sz="4" w:space="0" w:color="384594" w:themeColor="accent5" w:themeShade="BF"/>
          <w:left w:val="single" w:sz="4" w:space="0" w:color="384594" w:themeColor="accent5" w:themeShade="BF"/>
          <w:bottom w:val="single" w:sz="4" w:space="0" w:color="384594" w:themeColor="accent5" w:themeShade="BF"/>
          <w:right w:val="single" w:sz="4" w:space="0" w:color="384594" w:themeColor="accent5" w:themeShade="BF"/>
          <w:insideH w:val="single" w:sz="4" w:space="0" w:color="384594" w:themeColor="accent5" w:themeShade="BF"/>
          <w:insideV w:val="single" w:sz="4" w:space="0" w:color="384594" w:themeColor="accent5" w:themeShade="BF"/>
        </w:tblBorders>
        <w:tblLook w:val="04A0" w:firstRow="1" w:lastRow="0" w:firstColumn="1" w:lastColumn="0" w:noHBand="0" w:noVBand="1"/>
      </w:tblPr>
      <w:tblGrid>
        <w:gridCol w:w="4111"/>
        <w:gridCol w:w="1980"/>
        <w:gridCol w:w="1984"/>
        <w:gridCol w:w="1495"/>
      </w:tblGrid>
      <w:tr w:rsidR="00B70F00" w:rsidRPr="00D60B06" w14:paraId="092F3830" w14:textId="77777777" w:rsidTr="00EF6602">
        <w:trPr>
          <w:trHeight w:val="1206"/>
          <w:tblHeader/>
          <w:jc w:val="center"/>
        </w:trPr>
        <w:tc>
          <w:tcPr>
            <w:tcW w:w="4111" w:type="dxa"/>
            <w:shd w:val="clear" w:color="auto" w:fill="ECECEC"/>
            <w:vAlign w:val="center"/>
            <w:hideMark/>
          </w:tcPr>
          <w:p w14:paraId="0BB4572D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80" w:type="dxa"/>
            <w:shd w:val="clear" w:color="auto" w:fill="ECECEC"/>
            <w:noWrap/>
            <w:vAlign w:val="center"/>
            <w:hideMark/>
          </w:tcPr>
          <w:p w14:paraId="58F8E34E" w14:textId="77777777" w:rsidR="002929A2" w:rsidRDefault="002929A2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бъем </w:t>
            </w:r>
            <w:r w:rsidR="00B70F0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инвестиций в основной капитал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0810E79" w14:textId="14D3A36B" w:rsidR="00B70F00" w:rsidRPr="00A41529" w:rsidRDefault="00B70F00" w:rsidP="00EB31D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(мл</w:t>
            </w:r>
            <w:r w:rsidR="00EB31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рд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1984" w:type="dxa"/>
            <w:shd w:val="clear" w:color="auto" w:fill="ECECEC"/>
            <w:vAlign w:val="center"/>
            <w:hideMark/>
          </w:tcPr>
          <w:p w14:paraId="1215097B" w14:textId="3A28C206" w:rsidR="00B70F00" w:rsidRPr="00A41529" w:rsidRDefault="00DD673B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ИФО</w:t>
            </w:r>
          </w:p>
        </w:tc>
        <w:tc>
          <w:tcPr>
            <w:tcW w:w="1495" w:type="dxa"/>
            <w:shd w:val="clear" w:color="auto" w:fill="ECECEC"/>
            <w:noWrap/>
            <w:vAlign w:val="center"/>
            <w:hideMark/>
          </w:tcPr>
          <w:p w14:paraId="4C197F23" w14:textId="3F1F76DA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 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50B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B70F00" w:rsidRPr="00D60B06" w14:paraId="5C5C9CAD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738B2E13" w14:textId="77777777" w:rsidR="00B70F00" w:rsidRPr="00A41529" w:rsidRDefault="00B70F00" w:rsidP="00E247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14:paraId="3D738849" w14:textId="1712EAFB" w:rsidR="00B70F00" w:rsidRPr="00161612" w:rsidRDefault="00DB2C84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4 656,4</w:t>
            </w:r>
          </w:p>
        </w:tc>
        <w:tc>
          <w:tcPr>
            <w:tcW w:w="1984" w:type="dxa"/>
            <w:noWrap/>
            <w:vAlign w:val="center"/>
            <w:hideMark/>
          </w:tcPr>
          <w:p w14:paraId="14403C41" w14:textId="14155474" w:rsidR="00B70F00" w:rsidRPr="00A41529" w:rsidRDefault="00161612" w:rsidP="00DB2C84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B2C84">
              <w:rPr>
                <w:rFonts w:eastAsia="Times New Roman" w:cs="Times New Roman"/>
                <w:sz w:val="24"/>
                <w:szCs w:val="24"/>
                <w:lang w:eastAsia="ru-RU"/>
              </w:rPr>
              <w:t>09,9</w:t>
            </w:r>
            <w:r w:rsidR="00B70F00"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4620F4"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7F543405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B31D9" w:rsidRPr="00D60B06" w14:paraId="33209396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54EA0CB0" w14:textId="74E42A37" w:rsidR="00EB31D9" w:rsidRPr="00A41529" w:rsidRDefault="00EB31D9" w:rsidP="00EB31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980" w:type="dxa"/>
            <w:noWrap/>
            <w:vAlign w:val="center"/>
          </w:tcPr>
          <w:p w14:paraId="31F5A8A9" w14:textId="7FDEAE62" w:rsidR="00EB31D9" w:rsidRPr="00161612" w:rsidRDefault="00DB2C84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1 221,6</w:t>
            </w:r>
          </w:p>
        </w:tc>
        <w:tc>
          <w:tcPr>
            <w:tcW w:w="1984" w:type="dxa"/>
            <w:noWrap/>
            <w:vAlign w:val="center"/>
          </w:tcPr>
          <w:p w14:paraId="38542460" w14:textId="50413A2E" w:rsidR="00EB31D9" w:rsidRPr="00A41529" w:rsidRDefault="00B44E27" w:rsidP="001E1AEF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1E1AEF">
              <w:rPr>
                <w:rFonts w:eastAsia="Times New Roman" w:cs="Times New Roman"/>
                <w:sz w:val="24"/>
                <w:szCs w:val="24"/>
                <w:lang w:eastAsia="ru-RU"/>
              </w:rPr>
              <w:t>4,6</w:t>
            </w:r>
            <w:r w:rsidR="00EB31D9"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EB31D9"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0F044D92" w14:textId="3626AB3C" w:rsidR="00EB31D9" w:rsidRPr="00A41529" w:rsidRDefault="00161612" w:rsidP="00EB31D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B31D9" w:rsidRPr="00D60B06" w14:paraId="367F13A1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03CAA827" w14:textId="147D8ABE" w:rsidR="00EB31D9" w:rsidRPr="00307660" w:rsidRDefault="00EB31D9" w:rsidP="00EB31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14:paraId="10A19EA9" w14:textId="12962E5A" w:rsidR="00EB31D9" w:rsidRPr="00161612" w:rsidRDefault="00DB2C84" w:rsidP="00EB31D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1 139,1</w:t>
            </w:r>
          </w:p>
        </w:tc>
        <w:tc>
          <w:tcPr>
            <w:tcW w:w="1984" w:type="dxa"/>
            <w:noWrap/>
            <w:vAlign w:val="center"/>
            <w:hideMark/>
          </w:tcPr>
          <w:p w14:paraId="23507F9B" w14:textId="12DC259D" w:rsidR="00EB31D9" w:rsidRPr="00A41529" w:rsidRDefault="00161612" w:rsidP="00B44E27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E1AEF">
              <w:rPr>
                <w:rFonts w:eastAsia="Times New Roman" w:cs="Times New Roman"/>
                <w:sz w:val="24"/>
                <w:szCs w:val="24"/>
                <w:lang w:eastAsia="ru-RU"/>
              </w:rPr>
              <w:t>09,5</w:t>
            </w:r>
            <w:r w:rsidR="00EB31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623C185A" w14:textId="5B73D53E" w:rsidR="00EB31D9" w:rsidRPr="00A41529" w:rsidRDefault="00161612" w:rsidP="00EB31D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1612" w:rsidRPr="00D60B06" w14:paraId="78CD9425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5E6A6E1D" w14:textId="2A366590" w:rsidR="00161612" w:rsidRDefault="00161612" w:rsidP="001616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660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14:paraId="340F4573" w14:textId="7FF82D96" w:rsidR="00161612" w:rsidRPr="00161612" w:rsidRDefault="00DB2C84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1 091,3</w:t>
            </w:r>
          </w:p>
        </w:tc>
        <w:tc>
          <w:tcPr>
            <w:tcW w:w="1984" w:type="dxa"/>
            <w:noWrap/>
            <w:vAlign w:val="center"/>
          </w:tcPr>
          <w:p w14:paraId="48E80A5E" w14:textId="704A437D" w:rsidR="00161612" w:rsidRDefault="00161612" w:rsidP="001E1AEF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E1AEF">
              <w:rPr>
                <w:rFonts w:eastAsia="Times New Roman" w:cs="Times New Roman"/>
                <w:sz w:val="24"/>
                <w:szCs w:val="24"/>
                <w:lang w:eastAsia="ru-RU"/>
              </w:rPr>
              <w:t>6,4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08E29DD4" w14:textId="0D4E2417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61612" w:rsidRPr="00D60B06" w14:paraId="04F0CB8E" w14:textId="77777777" w:rsidTr="00EF6602">
        <w:trPr>
          <w:trHeight w:val="454"/>
          <w:jc w:val="center"/>
        </w:trPr>
        <w:tc>
          <w:tcPr>
            <w:tcW w:w="4111" w:type="dxa"/>
            <w:shd w:val="clear" w:color="auto" w:fill="E8CCF2" w:themeFill="accent3" w:themeFillTint="66"/>
            <w:vAlign w:val="center"/>
            <w:hideMark/>
          </w:tcPr>
          <w:p w14:paraId="4420E6A6" w14:textId="77777777" w:rsidR="00161612" w:rsidRPr="00AD5E28" w:rsidRDefault="00161612" w:rsidP="00161612">
            <w:pP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</w:pP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980" w:type="dxa"/>
            <w:shd w:val="clear" w:color="auto" w:fill="E8CCF2" w:themeFill="accent3" w:themeFillTint="66"/>
            <w:noWrap/>
            <w:vAlign w:val="center"/>
            <w:hideMark/>
          </w:tcPr>
          <w:p w14:paraId="3D3D3C01" w14:textId="0FE71E88" w:rsidR="00161612" w:rsidRPr="00161612" w:rsidRDefault="00DB2C84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984" w:type="dxa"/>
            <w:shd w:val="clear" w:color="auto" w:fill="E8CCF2" w:themeFill="accent3" w:themeFillTint="66"/>
            <w:noWrap/>
            <w:vAlign w:val="center"/>
            <w:hideMark/>
          </w:tcPr>
          <w:p w14:paraId="7133DA10" w14:textId="71C163FD" w:rsidR="00161612" w:rsidRPr="00A41529" w:rsidRDefault="00161612" w:rsidP="001E1AEF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1</w:t>
            </w:r>
            <w:r w:rsidR="001E1AEF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19,3</w:t>
            </w: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%</w:t>
            </w: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 xml:space="preserve">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shd w:val="clear" w:color="auto" w:fill="E8CCF2" w:themeFill="accent3" w:themeFillTint="66"/>
            <w:noWrap/>
            <w:vAlign w:val="center"/>
            <w:hideMark/>
          </w:tcPr>
          <w:p w14:paraId="6D4180A2" w14:textId="7700F749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61612" w:rsidRPr="00D60B06" w14:paraId="1A8F0AB9" w14:textId="77777777" w:rsidTr="00EF6602">
        <w:trPr>
          <w:trHeight w:val="398"/>
          <w:jc w:val="center"/>
        </w:trPr>
        <w:tc>
          <w:tcPr>
            <w:tcW w:w="4111" w:type="dxa"/>
            <w:vAlign w:val="center"/>
          </w:tcPr>
          <w:p w14:paraId="24BDAE13" w14:textId="7C32D176" w:rsidR="00161612" w:rsidRPr="004620F4" w:rsidRDefault="00161612" w:rsidP="0016161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96F4E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</w:tcPr>
          <w:p w14:paraId="1BCBDE2E" w14:textId="342B69E5" w:rsidR="00161612" w:rsidRPr="00453C24" w:rsidRDefault="00DB2C84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984" w:type="dxa"/>
            <w:noWrap/>
            <w:vAlign w:val="center"/>
          </w:tcPr>
          <w:p w14:paraId="771744ED" w14:textId="43B57A25" w:rsidR="00161612" w:rsidRDefault="00161612" w:rsidP="001E1AEF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E1AEF">
              <w:rPr>
                <w:rFonts w:eastAsia="Times New Roman" w:cs="Times New Roman"/>
                <w:sz w:val="24"/>
                <w:szCs w:val="24"/>
                <w:lang w:eastAsia="ru-RU"/>
              </w:rPr>
              <w:t>02,1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 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52BC3D78" w14:textId="6DC8DED9" w:rsidR="00161612" w:rsidRDefault="00161612" w:rsidP="0016161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61612" w:rsidRPr="00D60B06" w14:paraId="64D24C50" w14:textId="77777777" w:rsidTr="00EF6602">
        <w:trPr>
          <w:trHeight w:val="7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C9B24C9" w14:textId="7619251E" w:rsidR="00161612" w:rsidRPr="00A41529" w:rsidRDefault="00161612" w:rsidP="0016161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6DF1B18" w14:textId="7313278D" w:rsidR="00161612" w:rsidRPr="00A41529" w:rsidRDefault="00161612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1F4D19" w14:textId="4D9F4B28" w:rsidR="00161612" w:rsidRPr="00A41529" w:rsidRDefault="00161612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3DD88B5" w14:textId="51693EE9" w:rsidR="00161612" w:rsidRPr="00A41529" w:rsidRDefault="00161612" w:rsidP="0016161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61612" w:rsidRPr="00D60B06" w14:paraId="3DF01F2F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72C67A9E" w14:textId="77777777" w:rsidR="00161612" w:rsidRPr="006956FC" w:rsidRDefault="00161612" w:rsidP="001616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6FC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</w:tcPr>
          <w:p w14:paraId="435AEC45" w14:textId="67B12168" w:rsidR="00161612" w:rsidRPr="00A41529" w:rsidRDefault="00DB2C84" w:rsidP="0016161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984" w:type="dxa"/>
            <w:noWrap/>
            <w:vAlign w:val="center"/>
          </w:tcPr>
          <w:p w14:paraId="1226EA10" w14:textId="4F7AB166" w:rsidR="00161612" w:rsidRPr="00A41529" w:rsidRDefault="00161612" w:rsidP="001E1AEF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44E2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E1AEF">
              <w:rPr>
                <w:rFonts w:eastAsia="Times New Roman" w:cs="Times New Roman"/>
                <w:sz w:val="24"/>
                <w:szCs w:val="24"/>
                <w:lang w:eastAsia="ru-RU"/>
              </w:rPr>
              <w:t>7,3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79EE16DD" w14:textId="53C2E4DF" w:rsidR="00161612" w:rsidRPr="006956FC" w:rsidRDefault="00DB2C84" w:rsidP="0016161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14:paraId="6C36EAD6" w14:textId="77777777" w:rsidR="004D6DEE" w:rsidRPr="00AF4F83" w:rsidRDefault="004D6DEE" w:rsidP="00E24791">
      <w:pPr>
        <w:spacing w:after="0" w:line="240" w:lineRule="auto"/>
        <w:ind w:firstLine="567"/>
        <w:jc w:val="center"/>
        <w:rPr>
          <w:i/>
          <w:sz w:val="20"/>
          <w:szCs w:val="20"/>
          <w:lang w:val="en-US"/>
        </w:rPr>
      </w:pPr>
    </w:p>
    <w:p w14:paraId="2F1350BF" w14:textId="3132280B" w:rsidR="004D6DEE" w:rsidRDefault="004D6DEE" w:rsidP="00E2479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DC30D8">
        <w:rPr>
          <w:i/>
          <w:sz w:val="20"/>
          <w:szCs w:val="20"/>
        </w:rPr>
        <w:t xml:space="preserve">Источник: </w:t>
      </w:r>
      <w:r>
        <w:rPr>
          <w:i/>
          <w:sz w:val="20"/>
          <w:szCs w:val="20"/>
        </w:rPr>
        <w:t>Росстат</w:t>
      </w:r>
    </w:p>
    <w:p w14:paraId="4E5F1840" w14:textId="77777777" w:rsidR="004D6DEE" w:rsidRDefault="004D6DEE" w:rsidP="00E2479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D5510CA" w14:textId="1E43193F" w:rsidR="00331363" w:rsidRDefault="00EB6D58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6C53B1">
        <w:rPr>
          <w:sz w:val="24"/>
          <w:szCs w:val="24"/>
        </w:rPr>
        <w:t>Санкт-</w:t>
      </w:r>
      <w:r w:rsidR="0082130D">
        <w:rPr>
          <w:sz w:val="24"/>
          <w:szCs w:val="24"/>
        </w:rPr>
        <w:t>Петербург занял</w:t>
      </w:r>
      <w:r w:rsidR="00DD673B">
        <w:rPr>
          <w:sz w:val="24"/>
          <w:szCs w:val="24"/>
        </w:rPr>
        <w:t xml:space="preserve"> 5</w:t>
      </w:r>
      <w:r w:rsidR="0082130D">
        <w:rPr>
          <w:sz w:val="24"/>
          <w:szCs w:val="24"/>
        </w:rPr>
        <w:t>-</w:t>
      </w:r>
      <w:r w:rsidR="001C4F8A">
        <w:rPr>
          <w:sz w:val="24"/>
          <w:szCs w:val="24"/>
        </w:rPr>
        <w:t>е</w:t>
      </w:r>
      <w:r>
        <w:rPr>
          <w:sz w:val="24"/>
          <w:szCs w:val="24"/>
        </w:rPr>
        <w:t xml:space="preserve"> место среди </w:t>
      </w:r>
      <w:r w:rsidR="00CF7A2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Росси</w:t>
      </w:r>
      <w:r w:rsidR="00CF7A24">
        <w:rPr>
          <w:sz w:val="24"/>
          <w:szCs w:val="24"/>
        </w:rPr>
        <w:t>йской Федерации</w:t>
      </w:r>
      <w:r>
        <w:rPr>
          <w:sz w:val="24"/>
          <w:szCs w:val="24"/>
        </w:rPr>
        <w:t xml:space="preserve"> по объему инвестиций в основной капитал</w:t>
      </w:r>
      <w:r w:rsidR="00A12747" w:rsidRPr="00A12747">
        <w:rPr>
          <w:sz w:val="24"/>
          <w:szCs w:val="24"/>
        </w:rPr>
        <w:t xml:space="preserve"> </w:t>
      </w:r>
      <w:r w:rsidR="00A12747">
        <w:rPr>
          <w:sz w:val="24"/>
          <w:szCs w:val="24"/>
        </w:rPr>
        <w:t xml:space="preserve">по итогам </w:t>
      </w:r>
      <w:r w:rsidR="004D6EBA">
        <w:rPr>
          <w:sz w:val="24"/>
          <w:szCs w:val="24"/>
        </w:rPr>
        <w:t xml:space="preserve">января – </w:t>
      </w:r>
      <w:r w:rsidR="001E1AEF">
        <w:rPr>
          <w:sz w:val="24"/>
          <w:szCs w:val="24"/>
        </w:rPr>
        <w:t>с</w:t>
      </w:r>
      <w:commentRangeStart w:id="14"/>
      <w:r w:rsidR="001E1AEF">
        <w:rPr>
          <w:sz w:val="24"/>
          <w:szCs w:val="24"/>
        </w:rPr>
        <w:t>ентябр</w:t>
      </w:r>
      <w:r w:rsidR="004D7EE0">
        <w:rPr>
          <w:sz w:val="24"/>
          <w:szCs w:val="24"/>
        </w:rPr>
        <w:t>я</w:t>
      </w:r>
      <w:commentRangeEnd w:id="14"/>
      <w:r w:rsidR="004D7EE0">
        <w:rPr>
          <w:rStyle w:val="ae"/>
        </w:rPr>
        <w:commentReference w:id="14"/>
      </w:r>
      <w:r w:rsidR="004D6EB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D6EB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1E1AEF">
        <w:rPr>
          <w:sz w:val="24"/>
          <w:szCs w:val="24"/>
        </w:rPr>
        <w:t>, поднявшись на одну</w:t>
      </w:r>
      <w:r w:rsidR="007535A7">
        <w:rPr>
          <w:sz w:val="24"/>
          <w:szCs w:val="24"/>
        </w:rPr>
        <w:t xml:space="preserve"> позицию</w:t>
      </w:r>
      <w:r w:rsidR="001E1AEF">
        <w:rPr>
          <w:sz w:val="24"/>
          <w:szCs w:val="24"/>
        </w:rPr>
        <w:t xml:space="preserve"> </w:t>
      </w:r>
      <w:r w:rsidR="001E1AEF">
        <w:rPr>
          <w:sz w:val="24"/>
          <w:szCs w:val="24"/>
        </w:rPr>
        <w:br/>
        <w:t>по сравнению с аналогичным периодом предыдущего года</w:t>
      </w:r>
      <w:r w:rsidR="007535A7">
        <w:rPr>
          <w:sz w:val="24"/>
          <w:szCs w:val="24"/>
        </w:rPr>
        <w:t xml:space="preserve">. </w:t>
      </w:r>
      <w:r w:rsidR="00524A2A">
        <w:rPr>
          <w:sz w:val="24"/>
          <w:szCs w:val="24"/>
        </w:rPr>
        <w:t xml:space="preserve">Большие объемы инвестиций наблюдались только в Москве и Московской области, а также </w:t>
      </w:r>
      <w:r w:rsidR="00C575EB">
        <w:rPr>
          <w:sz w:val="24"/>
          <w:szCs w:val="24"/>
        </w:rPr>
        <w:t xml:space="preserve">в </w:t>
      </w:r>
      <w:r w:rsidR="00524A2A">
        <w:rPr>
          <w:sz w:val="24"/>
          <w:szCs w:val="24"/>
        </w:rPr>
        <w:t>основны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</w:t>
      </w:r>
      <w:proofErr w:type="spellStart"/>
      <w:r w:rsidR="00524A2A">
        <w:rPr>
          <w:sz w:val="24"/>
          <w:szCs w:val="24"/>
        </w:rPr>
        <w:t>ресурсодобывающи</w:t>
      </w:r>
      <w:r w:rsidR="00C575EB">
        <w:rPr>
          <w:sz w:val="24"/>
          <w:szCs w:val="24"/>
        </w:rPr>
        <w:t>х</w:t>
      </w:r>
      <w:proofErr w:type="spellEnd"/>
      <w:r w:rsidR="00524A2A">
        <w:rPr>
          <w:sz w:val="24"/>
          <w:szCs w:val="24"/>
        </w:rPr>
        <w:t xml:space="preserve"> региона</w:t>
      </w:r>
      <w:r w:rsidR="00C575EB">
        <w:rPr>
          <w:sz w:val="24"/>
          <w:szCs w:val="24"/>
        </w:rPr>
        <w:t>х</w:t>
      </w:r>
      <w:r w:rsidR="00B44E27">
        <w:rPr>
          <w:sz w:val="24"/>
          <w:szCs w:val="24"/>
        </w:rPr>
        <w:t xml:space="preserve"> России – </w:t>
      </w:r>
      <w:r w:rsidR="00B44E27">
        <w:rPr>
          <w:sz w:val="24"/>
          <w:szCs w:val="24"/>
        </w:rPr>
        <w:lastRenderedPageBreak/>
        <w:t>Ханты-Мансийском</w:t>
      </w:r>
      <w:r w:rsidR="00524A2A">
        <w:rPr>
          <w:sz w:val="24"/>
          <w:szCs w:val="24"/>
        </w:rPr>
        <w:t xml:space="preserve"> и Ямало-Ненецком автономны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округа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. </w:t>
      </w:r>
      <w:r w:rsidR="000E3EDE">
        <w:rPr>
          <w:sz w:val="24"/>
          <w:szCs w:val="24"/>
        </w:rPr>
        <w:t xml:space="preserve">По объему привлеченных инвестиций </w:t>
      </w:r>
      <w:r w:rsidR="001F0359">
        <w:rPr>
          <w:sz w:val="24"/>
          <w:szCs w:val="24"/>
        </w:rPr>
        <w:t xml:space="preserve">Татарстан </w:t>
      </w:r>
      <w:r w:rsidR="004C6902">
        <w:rPr>
          <w:sz w:val="24"/>
          <w:szCs w:val="24"/>
        </w:rPr>
        <w:t>незначительно уступ</w:t>
      </w:r>
      <w:r w:rsidR="004D60DB">
        <w:rPr>
          <w:sz w:val="24"/>
          <w:szCs w:val="24"/>
        </w:rPr>
        <w:t>и</w:t>
      </w:r>
      <w:r w:rsidR="004C6902">
        <w:rPr>
          <w:sz w:val="24"/>
          <w:szCs w:val="24"/>
        </w:rPr>
        <w:t>л</w:t>
      </w:r>
      <w:r w:rsidR="0082130D">
        <w:rPr>
          <w:sz w:val="24"/>
          <w:szCs w:val="24"/>
        </w:rPr>
        <w:t xml:space="preserve"> </w:t>
      </w:r>
      <w:r w:rsidR="00DC3193">
        <w:rPr>
          <w:sz w:val="24"/>
          <w:szCs w:val="24"/>
        </w:rPr>
        <w:t>Санкт</w:t>
      </w:r>
      <w:r w:rsidR="0082130D">
        <w:rPr>
          <w:sz w:val="24"/>
          <w:szCs w:val="24"/>
        </w:rPr>
        <w:noBreakHyphen/>
      </w:r>
      <w:r w:rsidR="00DC3193">
        <w:rPr>
          <w:sz w:val="24"/>
          <w:szCs w:val="24"/>
        </w:rPr>
        <w:t>Петербург</w:t>
      </w:r>
      <w:r w:rsidR="004C6902">
        <w:rPr>
          <w:sz w:val="24"/>
          <w:szCs w:val="24"/>
        </w:rPr>
        <w:t>у</w:t>
      </w:r>
      <w:r w:rsidR="00524A2A">
        <w:rPr>
          <w:sz w:val="24"/>
          <w:szCs w:val="24"/>
        </w:rPr>
        <w:t>, заняв 6</w:t>
      </w:r>
      <w:r w:rsidR="001E1AEF">
        <w:rPr>
          <w:sz w:val="24"/>
          <w:szCs w:val="24"/>
        </w:rPr>
        <w:t>-е</w:t>
      </w:r>
      <w:r w:rsidR="00524A2A">
        <w:rPr>
          <w:sz w:val="24"/>
          <w:szCs w:val="24"/>
        </w:rPr>
        <w:t xml:space="preserve"> место</w:t>
      </w:r>
      <w:r w:rsidR="00331363">
        <w:rPr>
          <w:sz w:val="24"/>
          <w:szCs w:val="24"/>
        </w:rPr>
        <w:t>.</w:t>
      </w:r>
      <w:r w:rsidR="00331363" w:rsidRPr="00331363">
        <w:rPr>
          <w:sz w:val="24"/>
          <w:szCs w:val="24"/>
        </w:rPr>
        <w:t xml:space="preserve"> </w:t>
      </w:r>
    </w:p>
    <w:p w14:paraId="13095EFF" w14:textId="481A72F9" w:rsidR="004327B7" w:rsidRDefault="004327B7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инвестиций </w:t>
      </w:r>
      <w:r w:rsidR="00372101">
        <w:rPr>
          <w:sz w:val="24"/>
          <w:szCs w:val="24"/>
        </w:rPr>
        <w:t xml:space="preserve">крупных и средних предприятий </w:t>
      </w:r>
      <w:r>
        <w:rPr>
          <w:sz w:val="24"/>
          <w:szCs w:val="24"/>
        </w:rPr>
        <w:t>Республики Татарстан преобладают обрабатывающие производства (</w:t>
      </w:r>
      <w:r w:rsidR="001E1AEF">
        <w:rPr>
          <w:sz w:val="24"/>
          <w:szCs w:val="24"/>
        </w:rPr>
        <w:t>31,9</w:t>
      </w:r>
      <w:r w:rsidR="003501AF">
        <w:rPr>
          <w:sz w:val="24"/>
          <w:szCs w:val="24"/>
        </w:rPr>
        <w:t>%), транспортировка и хранение (</w:t>
      </w:r>
      <w:r w:rsidR="001E1AEF">
        <w:rPr>
          <w:sz w:val="24"/>
          <w:szCs w:val="24"/>
        </w:rPr>
        <w:t>20,6</w:t>
      </w:r>
      <w:r w:rsidR="003501AF">
        <w:rPr>
          <w:sz w:val="24"/>
          <w:szCs w:val="24"/>
        </w:rPr>
        <w:t xml:space="preserve">%) и </w:t>
      </w:r>
      <w:r w:rsidR="00DB1BF1">
        <w:rPr>
          <w:sz w:val="24"/>
          <w:szCs w:val="24"/>
        </w:rPr>
        <w:t>добыча полезных ископаемых</w:t>
      </w:r>
      <w:r w:rsidR="003501AF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1</w:t>
      </w:r>
      <w:r w:rsidR="001E1AEF">
        <w:rPr>
          <w:sz w:val="24"/>
          <w:szCs w:val="24"/>
        </w:rPr>
        <w:t>2,7</w:t>
      </w:r>
      <w:r w:rsidR="003501AF">
        <w:rPr>
          <w:sz w:val="24"/>
          <w:szCs w:val="24"/>
        </w:rPr>
        <w:t xml:space="preserve">%). Среди обрабатывающей промышленности наибольший объем инвестиций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 xml:space="preserve">в основной капитал в </w:t>
      </w:r>
      <w:r w:rsidR="001E1AEF">
        <w:rPr>
          <w:sz w:val="24"/>
          <w:szCs w:val="24"/>
        </w:rPr>
        <w:t>3</w:t>
      </w:r>
      <w:r w:rsidR="003501AF">
        <w:rPr>
          <w:sz w:val="24"/>
          <w:szCs w:val="24"/>
        </w:rPr>
        <w:t xml:space="preserve">-м квартале 2024 года пришелся на производство химических веществ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>и продуктов (</w:t>
      </w:r>
      <w:r w:rsidR="001E1AEF">
        <w:rPr>
          <w:sz w:val="24"/>
          <w:szCs w:val="24"/>
        </w:rPr>
        <w:t>33,1</w:t>
      </w:r>
      <w:r w:rsidR="003501AF">
        <w:rPr>
          <w:sz w:val="24"/>
          <w:szCs w:val="24"/>
        </w:rPr>
        <w:t xml:space="preserve">% от объема инвестиций в основной капитал обрабатывающей промышленности), </w:t>
      </w:r>
      <w:r w:rsidR="00DB1BF1">
        <w:rPr>
          <w:sz w:val="24"/>
          <w:szCs w:val="24"/>
        </w:rPr>
        <w:br/>
      </w:r>
      <w:r w:rsidR="003501AF">
        <w:rPr>
          <w:sz w:val="24"/>
          <w:szCs w:val="24"/>
        </w:rPr>
        <w:t>а также производство кокса и нефтепродуктов (</w:t>
      </w:r>
      <w:r w:rsidR="00DB1BF1">
        <w:rPr>
          <w:sz w:val="24"/>
          <w:szCs w:val="24"/>
        </w:rPr>
        <w:t>2</w:t>
      </w:r>
      <w:r w:rsidR="00A64C48">
        <w:rPr>
          <w:sz w:val="24"/>
          <w:szCs w:val="24"/>
        </w:rPr>
        <w:t>3,5</w:t>
      </w:r>
      <w:r w:rsidR="008F4EAF">
        <w:rPr>
          <w:sz w:val="24"/>
          <w:szCs w:val="24"/>
        </w:rPr>
        <w:t>%).</w:t>
      </w:r>
    </w:p>
    <w:p w14:paraId="786AADDA" w14:textId="40E9F54B" w:rsidR="008F4EAF" w:rsidRDefault="008F4EAF" w:rsidP="0037210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Московской области крупнейшими отраслями по объему капиталовложений в январе – </w:t>
      </w:r>
      <w:r w:rsidR="00A64C48">
        <w:rPr>
          <w:sz w:val="24"/>
          <w:szCs w:val="24"/>
        </w:rPr>
        <w:t xml:space="preserve">сентябре </w:t>
      </w:r>
      <w:r>
        <w:rPr>
          <w:sz w:val="24"/>
          <w:szCs w:val="24"/>
        </w:rPr>
        <w:t>2024 года являются:</w:t>
      </w:r>
      <w:r w:rsidR="00A64C48">
        <w:rPr>
          <w:sz w:val="24"/>
          <w:szCs w:val="24"/>
        </w:rPr>
        <w:t xml:space="preserve"> </w:t>
      </w:r>
      <w:r w:rsidR="00BC20F7">
        <w:rPr>
          <w:sz w:val="24"/>
          <w:szCs w:val="24"/>
        </w:rPr>
        <w:t xml:space="preserve">деятельность профессиональная, научная и техническая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</w:t>
      </w:r>
      <w:r w:rsidR="00A64C48">
        <w:rPr>
          <w:sz w:val="24"/>
          <w:szCs w:val="24"/>
        </w:rPr>
        <w:t>9</w:t>
      </w:r>
      <w:r w:rsidR="00DB1BF1">
        <w:rPr>
          <w:sz w:val="24"/>
          <w:szCs w:val="24"/>
        </w:rPr>
        <w:t>,7</w:t>
      </w:r>
      <w:r w:rsidR="00372101">
        <w:rPr>
          <w:sz w:val="24"/>
          <w:szCs w:val="24"/>
        </w:rPr>
        <w:t xml:space="preserve">%), </w:t>
      </w:r>
      <w:r w:rsidR="00A64C48">
        <w:rPr>
          <w:sz w:val="24"/>
          <w:szCs w:val="24"/>
        </w:rPr>
        <w:t xml:space="preserve">обрабатывающие производства (18,7%), </w:t>
      </w:r>
      <w:r w:rsidR="00DB1BF1">
        <w:rPr>
          <w:sz w:val="24"/>
          <w:szCs w:val="24"/>
        </w:rPr>
        <w:t xml:space="preserve">транспортировка и хранение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11</w:t>
      </w:r>
      <w:r w:rsidR="00372101">
        <w:rPr>
          <w:sz w:val="24"/>
          <w:szCs w:val="24"/>
        </w:rPr>
        <w:t xml:space="preserve">%) и </w:t>
      </w:r>
      <w:r w:rsidR="00372101" w:rsidRPr="00372101">
        <w:rPr>
          <w:sz w:val="24"/>
          <w:szCs w:val="24"/>
        </w:rPr>
        <w:t>обеспечение электрической энергией, газом и паром;</w:t>
      </w:r>
      <w:r w:rsidR="00372101">
        <w:rPr>
          <w:sz w:val="24"/>
          <w:szCs w:val="24"/>
        </w:rPr>
        <w:t xml:space="preserve"> </w:t>
      </w:r>
      <w:r w:rsidR="00372101" w:rsidRPr="00372101">
        <w:rPr>
          <w:sz w:val="24"/>
          <w:szCs w:val="24"/>
        </w:rPr>
        <w:t>кондиционирование воздуха</w:t>
      </w:r>
      <w:r w:rsidR="00372101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1</w:t>
      </w:r>
      <w:r w:rsidR="00A64C48">
        <w:rPr>
          <w:sz w:val="24"/>
          <w:szCs w:val="24"/>
        </w:rPr>
        <w:t>0,9</w:t>
      </w:r>
      <w:r w:rsidR="00372101">
        <w:rPr>
          <w:sz w:val="24"/>
          <w:szCs w:val="24"/>
        </w:rPr>
        <w:t>%).</w:t>
      </w:r>
    </w:p>
    <w:p w14:paraId="44DC754F" w14:textId="1A637A39" w:rsidR="00B70F00" w:rsidRDefault="001C4F8A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область, продемонстрировав высокие </w:t>
      </w:r>
      <w:r w:rsidRPr="00EB705C">
        <w:rPr>
          <w:sz w:val="24"/>
          <w:szCs w:val="24"/>
        </w:rPr>
        <w:t>показатели</w:t>
      </w:r>
      <w:r w:rsidR="00106160" w:rsidRPr="00EB705C">
        <w:rPr>
          <w:sz w:val="24"/>
          <w:szCs w:val="24"/>
        </w:rPr>
        <w:t xml:space="preserve"> </w:t>
      </w:r>
      <w:commentRangeStart w:id="15"/>
      <w:commentRangeStart w:id="16"/>
      <w:r w:rsidR="00106160" w:rsidRPr="00EB705C">
        <w:rPr>
          <w:sz w:val="24"/>
          <w:szCs w:val="24"/>
        </w:rPr>
        <w:t>ИФО (</w:t>
      </w:r>
      <w:r w:rsidR="00372101" w:rsidRPr="00EB705C">
        <w:rPr>
          <w:sz w:val="24"/>
          <w:szCs w:val="24"/>
        </w:rPr>
        <w:t>1</w:t>
      </w:r>
      <w:r w:rsidR="00A64C48" w:rsidRPr="00EB705C">
        <w:rPr>
          <w:sz w:val="24"/>
          <w:szCs w:val="24"/>
        </w:rPr>
        <w:t>37,3</w:t>
      </w:r>
      <w:r w:rsidR="00372101" w:rsidRPr="00EB705C">
        <w:rPr>
          <w:sz w:val="24"/>
          <w:szCs w:val="24"/>
        </w:rPr>
        <w:t>%)</w:t>
      </w:r>
      <w:r w:rsidR="004D7EE0">
        <w:rPr>
          <w:sz w:val="24"/>
          <w:szCs w:val="24"/>
        </w:rPr>
        <w:t>,</w:t>
      </w:r>
      <w:r w:rsidR="00372101" w:rsidRPr="00EB705C">
        <w:rPr>
          <w:sz w:val="24"/>
          <w:szCs w:val="24"/>
        </w:rPr>
        <w:t xml:space="preserve"> по объему </w:t>
      </w:r>
      <w:commentRangeEnd w:id="15"/>
      <w:r w:rsidR="00E05569" w:rsidRPr="00EB705C">
        <w:rPr>
          <w:rStyle w:val="ae"/>
        </w:rPr>
        <w:commentReference w:id="15"/>
      </w:r>
      <w:commentRangeEnd w:id="16"/>
      <w:r w:rsidR="004D7EE0">
        <w:rPr>
          <w:rStyle w:val="ae"/>
        </w:rPr>
        <w:commentReference w:id="16"/>
      </w:r>
      <w:r w:rsidR="00372101" w:rsidRPr="00EB705C">
        <w:rPr>
          <w:sz w:val="24"/>
          <w:szCs w:val="24"/>
        </w:rPr>
        <w:t>инвестиций в</w:t>
      </w:r>
      <w:r w:rsidR="00372101">
        <w:rPr>
          <w:sz w:val="24"/>
          <w:szCs w:val="24"/>
        </w:rPr>
        <w:t xml:space="preserve"> основной капитал переместилась с 1</w:t>
      </w:r>
      <w:r w:rsidR="00A64C48">
        <w:rPr>
          <w:sz w:val="24"/>
          <w:szCs w:val="24"/>
        </w:rPr>
        <w:t>3-й</w:t>
      </w:r>
      <w:r w:rsidR="00372101">
        <w:rPr>
          <w:sz w:val="24"/>
          <w:szCs w:val="24"/>
        </w:rPr>
        <w:t xml:space="preserve"> строчки в </w:t>
      </w:r>
      <w:r w:rsidR="00A64C48">
        <w:rPr>
          <w:sz w:val="24"/>
          <w:szCs w:val="24"/>
        </w:rPr>
        <w:t>3</w:t>
      </w:r>
      <w:r w:rsidR="00372101">
        <w:rPr>
          <w:sz w:val="24"/>
          <w:szCs w:val="24"/>
        </w:rPr>
        <w:t xml:space="preserve">-м квартале 2023 года на </w:t>
      </w:r>
      <w:r w:rsidR="00A64C48">
        <w:rPr>
          <w:sz w:val="24"/>
          <w:szCs w:val="24"/>
        </w:rPr>
        <w:t>9-е</w:t>
      </w:r>
      <w:r w:rsidR="00372101">
        <w:rPr>
          <w:sz w:val="24"/>
          <w:szCs w:val="24"/>
        </w:rPr>
        <w:t xml:space="preserve"> место </w:t>
      </w:r>
      <w:r w:rsidR="00372101">
        <w:rPr>
          <w:sz w:val="24"/>
          <w:szCs w:val="24"/>
        </w:rPr>
        <w:br/>
        <w:t>в аналогичном периоде 2024 года</w:t>
      </w:r>
      <w:r>
        <w:rPr>
          <w:sz w:val="24"/>
          <w:szCs w:val="24"/>
        </w:rPr>
        <w:t xml:space="preserve">. </w:t>
      </w:r>
      <w:r w:rsidR="00DB1BF1">
        <w:rPr>
          <w:sz w:val="24"/>
          <w:szCs w:val="24"/>
        </w:rPr>
        <w:t>Свыше половины</w:t>
      </w:r>
      <w:r w:rsidR="002E6D60">
        <w:rPr>
          <w:sz w:val="24"/>
          <w:szCs w:val="24"/>
        </w:rPr>
        <w:t xml:space="preserve"> капиталовложени</w:t>
      </w:r>
      <w:r w:rsidR="003951C3">
        <w:rPr>
          <w:sz w:val="24"/>
          <w:szCs w:val="24"/>
        </w:rPr>
        <w:t>й</w:t>
      </w:r>
      <w:r w:rsidR="00372101">
        <w:rPr>
          <w:sz w:val="24"/>
          <w:szCs w:val="24"/>
        </w:rPr>
        <w:t xml:space="preserve"> в регионе</w:t>
      </w:r>
      <w:r w:rsidR="003951C3">
        <w:rPr>
          <w:sz w:val="24"/>
          <w:szCs w:val="24"/>
        </w:rPr>
        <w:t xml:space="preserve"> (</w:t>
      </w:r>
      <w:r w:rsidR="00A64C48">
        <w:rPr>
          <w:sz w:val="24"/>
          <w:szCs w:val="24"/>
        </w:rPr>
        <w:t>62,2</w:t>
      </w:r>
      <w:r w:rsidR="003951C3">
        <w:rPr>
          <w:sz w:val="24"/>
          <w:szCs w:val="24"/>
        </w:rPr>
        <w:t xml:space="preserve">%) пришлось </w:t>
      </w:r>
      <w:r w:rsidR="005238A9">
        <w:rPr>
          <w:sz w:val="24"/>
          <w:szCs w:val="24"/>
        </w:rPr>
        <w:br/>
      </w:r>
      <w:r w:rsidR="003951C3">
        <w:rPr>
          <w:sz w:val="24"/>
          <w:szCs w:val="24"/>
        </w:rPr>
        <w:t>на обрабатывающ</w:t>
      </w:r>
      <w:r w:rsidR="005238A9">
        <w:rPr>
          <w:sz w:val="24"/>
          <w:szCs w:val="24"/>
        </w:rPr>
        <w:t>ую промышленность</w:t>
      </w:r>
      <w:r w:rsidR="00372101">
        <w:rPr>
          <w:sz w:val="24"/>
          <w:szCs w:val="24"/>
        </w:rPr>
        <w:t>, из которых 89,</w:t>
      </w:r>
      <w:r w:rsidR="00A64C48">
        <w:rPr>
          <w:sz w:val="24"/>
          <w:szCs w:val="24"/>
        </w:rPr>
        <w:t>4</w:t>
      </w:r>
      <w:r w:rsidR="00372101">
        <w:rPr>
          <w:sz w:val="24"/>
          <w:szCs w:val="24"/>
        </w:rPr>
        <w:t>% состав</w:t>
      </w:r>
      <w:bookmarkStart w:id="17" w:name="_GoBack"/>
      <w:bookmarkEnd w:id="17"/>
      <w:r w:rsidR="00372101">
        <w:rPr>
          <w:sz w:val="24"/>
          <w:szCs w:val="24"/>
        </w:rPr>
        <w:t>или инвестиции в производство химических веществ и продуктов</w:t>
      </w:r>
      <w:r w:rsidR="002D7A02">
        <w:rPr>
          <w:sz w:val="24"/>
          <w:szCs w:val="24"/>
        </w:rPr>
        <w:t>. Среди других отраслей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>экономики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 xml:space="preserve">Ленинградской области </w:t>
      </w:r>
      <w:r w:rsidR="002D7A02">
        <w:rPr>
          <w:sz w:val="24"/>
          <w:szCs w:val="24"/>
        </w:rPr>
        <w:br/>
        <w:t>в наибольшей степени была представлен</w:t>
      </w:r>
      <w:r w:rsidR="00A64C48">
        <w:rPr>
          <w:sz w:val="24"/>
          <w:szCs w:val="24"/>
        </w:rPr>
        <w:t>а</w:t>
      </w:r>
      <w:r w:rsidR="00A64C48" w:rsidRPr="00A64C48">
        <w:rPr>
          <w:sz w:val="24"/>
          <w:szCs w:val="24"/>
        </w:rPr>
        <w:t xml:space="preserve"> </w:t>
      </w:r>
      <w:r w:rsidR="00A64C48">
        <w:rPr>
          <w:sz w:val="24"/>
          <w:szCs w:val="24"/>
        </w:rPr>
        <w:t>транспортировка и хранение (23,7%)</w:t>
      </w:r>
      <w:r w:rsidR="00633582" w:rsidRPr="00633582">
        <w:t xml:space="preserve"> </w:t>
      </w:r>
      <w:r w:rsidR="00A64C48">
        <w:t xml:space="preserve">и </w:t>
      </w:r>
      <w:r w:rsidR="00633582" w:rsidRPr="00633582">
        <w:rPr>
          <w:sz w:val="24"/>
          <w:szCs w:val="24"/>
        </w:rPr>
        <w:t>операци</w:t>
      </w:r>
      <w:r w:rsidR="00633582">
        <w:rPr>
          <w:sz w:val="24"/>
          <w:szCs w:val="24"/>
        </w:rPr>
        <w:t>и</w:t>
      </w:r>
      <w:r w:rsidR="00633582" w:rsidRPr="00633582">
        <w:rPr>
          <w:sz w:val="24"/>
          <w:szCs w:val="24"/>
        </w:rPr>
        <w:t xml:space="preserve"> </w:t>
      </w:r>
      <w:r w:rsidR="00A64C48">
        <w:rPr>
          <w:sz w:val="24"/>
          <w:szCs w:val="24"/>
        </w:rPr>
        <w:br/>
      </w:r>
      <w:r w:rsidR="00633582" w:rsidRPr="00633582">
        <w:rPr>
          <w:sz w:val="24"/>
          <w:szCs w:val="24"/>
        </w:rPr>
        <w:t>с недвижимым имуществом</w:t>
      </w:r>
      <w:r w:rsidR="002D7A02">
        <w:rPr>
          <w:sz w:val="24"/>
          <w:szCs w:val="24"/>
        </w:rPr>
        <w:t xml:space="preserve"> </w:t>
      </w:r>
      <w:r w:rsidR="00A64C48">
        <w:rPr>
          <w:sz w:val="24"/>
          <w:szCs w:val="24"/>
        </w:rPr>
        <w:t>(12,1%).</w:t>
      </w:r>
    </w:p>
    <w:p w14:paraId="47730EA2" w14:textId="77777777" w:rsidR="00D54FF9" w:rsidRPr="0035252C" w:rsidRDefault="00D54FF9">
      <w:pPr>
        <w:spacing w:after="0" w:line="240" w:lineRule="auto"/>
        <w:ind w:firstLine="567"/>
        <w:jc w:val="both"/>
        <w:rPr>
          <w:i/>
          <w:sz w:val="20"/>
          <w:szCs w:val="20"/>
        </w:rPr>
      </w:pPr>
    </w:p>
    <w:sectPr w:rsidR="00D54FF9" w:rsidRPr="0035252C" w:rsidSect="00CA1C93">
      <w:headerReference w:type="first" r:id="rId15"/>
      <w:footerReference w:type="first" r:id="rId16"/>
      <w:pgSz w:w="11906" w:h="16838"/>
      <w:pgMar w:top="851" w:right="567" w:bottom="567" w:left="851" w:header="1191" w:footer="73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арайкин Денис Игоревич" w:date="2024-12-26T14:13:00Z" w:initials="СДИ">
    <w:p w14:paraId="3D45C15C" w14:textId="4D36B1FB" w:rsidR="00400B4C" w:rsidRPr="00400B4C" w:rsidRDefault="00400B4C">
      <w:pPr>
        <w:pStyle w:val="af"/>
      </w:pPr>
      <w:r>
        <w:rPr>
          <w:rStyle w:val="ae"/>
        </w:rPr>
        <w:annotationRef/>
      </w:r>
      <w:proofErr w:type="spellStart"/>
      <w:r>
        <w:t>яНваре</w:t>
      </w:r>
      <w:proofErr w:type="spellEnd"/>
    </w:p>
  </w:comment>
  <w:comment w:id="1" w:author="Данкуца Александр Русланович" w:date="2024-12-26T17:43:00Z" w:initials="ДАР">
    <w:p w14:paraId="75C70CD0" w14:textId="673858EB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3" w:author="Сарайкин Денис Игоревич" w:date="2024-12-26T17:05:00Z" w:initials="СДИ">
    <w:p w14:paraId="46C05909" w14:textId="3B82AC50" w:rsidR="00E04F4F" w:rsidRDefault="00E04F4F">
      <w:pPr>
        <w:pStyle w:val="af"/>
      </w:pPr>
      <w:r>
        <w:rPr>
          <w:rStyle w:val="ae"/>
        </w:rPr>
        <w:annotationRef/>
      </w:r>
      <w:r>
        <w:t xml:space="preserve">в списке: </w:t>
      </w:r>
      <w:r>
        <w:br/>
        <w:t xml:space="preserve">1. «1. </w:t>
      </w:r>
      <w:proofErr w:type="spellStart"/>
      <w:r>
        <w:t>оборудованиЕ</w:t>
      </w:r>
      <w:proofErr w:type="spellEnd"/>
      <w:r>
        <w:t>»</w:t>
      </w:r>
      <w:r>
        <w:br/>
        <w:t xml:space="preserve">2. «5. </w:t>
      </w:r>
      <w:proofErr w:type="spellStart"/>
      <w:r>
        <w:t>оборудованиЕ</w:t>
      </w:r>
      <w:proofErr w:type="spellEnd"/>
      <w:r>
        <w:t>»</w:t>
      </w:r>
      <w:r>
        <w:br/>
        <w:t>3. «6. металлы» нет точки</w:t>
      </w:r>
    </w:p>
  </w:comment>
  <w:comment w:id="4" w:author="Данкуца Александр Русланович" w:date="2024-12-26T17:44:00Z" w:initials="ДАР">
    <w:p w14:paraId="65FFA2F1" w14:textId="74409D0D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5" w:author="Сарайкин Денис Игоревич" w:date="2024-12-26T17:10:00Z" w:initials="СДИ">
    <w:p w14:paraId="1F1956CD" w14:textId="3C7FAB5B" w:rsidR="00E04F4F" w:rsidRDefault="00E04F4F">
      <w:pPr>
        <w:pStyle w:val="af"/>
      </w:pPr>
      <w:r>
        <w:rPr>
          <w:rStyle w:val="ae"/>
        </w:rPr>
        <w:annotationRef/>
      </w:r>
      <w:r>
        <w:t>в источнике в самом начале названия статьи пропущен предлог «В»</w:t>
      </w:r>
    </w:p>
  </w:comment>
  <w:comment w:id="6" w:author="Данкуца Александр Русланович" w:date="2024-12-26T17:44:00Z" w:initials="ДАР">
    <w:p w14:paraId="4A6EC233" w14:textId="71CFB00A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7" w:author="Сарайкин Денис Игоревич" w:date="2024-12-26T15:35:00Z" w:initials="СДИ">
    <w:p w14:paraId="2CEE7E16" w14:textId="1BB6ED56" w:rsidR="009607C5" w:rsidRDefault="009607C5">
      <w:pPr>
        <w:pStyle w:val="af"/>
      </w:pPr>
      <w:r>
        <w:rPr>
          <w:rStyle w:val="ae"/>
        </w:rPr>
        <w:annotationRef/>
      </w:r>
      <w:r>
        <w:t>предложение: поставить сноску №4 внутрь предложения (после «по производству косметики» соответственно) и сноску №5 оставить после «электротехнического оборудования»</w:t>
      </w:r>
    </w:p>
  </w:comment>
  <w:comment w:id="8" w:author="Сарайкин Денис Игоревич" w:date="2024-12-26T15:43:00Z" w:initials="СДИ">
    <w:p w14:paraId="0C0B01D9" w14:textId="5518DD22" w:rsidR="00791830" w:rsidRDefault="00791830">
      <w:pPr>
        <w:pStyle w:val="af"/>
      </w:pPr>
      <w:r>
        <w:rPr>
          <w:rStyle w:val="ae"/>
        </w:rPr>
        <w:annotationRef/>
      </w:r>
      <w:r>
        <w:t>2023</w:t>
      </w:r>
    </w:p>
  </w:comment>
  <w:comment w:id="9" w:author="Данкуца Александр Русланович" w:date="2024-12-26T17:44:00Z" w:initials="ДАР">
    <w:p w14:paraId="09526855" w14:textId="7A798C78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10" w:author="Сарайкин Денис Игоревич" w:date="2024-12-26T17:11:00Z" w:initials="СДИ">
    <w:p w14:paraId="08DD8666" w14:textId="749AEDF3" w:rsidR="00E04F4F" w:rsidRDefault="00E04F4F">
      <w:pPr>
        <w:pStyle w:val="af"/>
      </w:pPr>
      <w:r>
        <w:rPr>
          <w:rStyle w:val="ae"/>
        </w:rPr>
        <w:annotationRef/>
      </w:r>
      <w:r>
        <w:t>Запятой не хватает</w:t>
      </w:r>
    </w:p>
  </w:comment>
  <w:comment w:id="11" w:author="Данкуца Александр Русланович" w:date="2024-12-26T17:45:00Z" w:initials="ДАР">
    <w:p w14:paraId="672C0DDB" w14:textId="7FE4E4F3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12" w:author="Сарайкин Денис Игоревич" w:date="2024-12-26T17:27:00Z" w:initials="СДИ">
    <w:p w14:paraId="7B986485" w14:textId="22B3D5BA" w:rsidR="003A720C" w:rsidRDefault="003A720C">
      <w:pPr>
        <w:pStyle w:val="af"/>
      </w:pPr>
      <w:r>
        <w:rPr>
          <w:rStyle w:val="ae"/>
        </w:rPr>
        <w:annotationRef/>
      </w:r>
      <w:r w:rsidR="0042107B">
        <w:t>Здесь мне привычнее написание «п. п.» с пробелом между буквами, но на усмотрение автора</w:t>
      </w:r>
    </w:p>
  </w:comment>
  <w:comment w:id="13" w:author="Данкуца Александр Русланович" w:date="2024-12-26T17:45:00Z" w:initials="ДАР">
    <w:p w14:paraId="70970C27" w14:textId="1C58282C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14" w:author="Данкуца Александр Русланович" w:date="2024-12-26T17:46:00Z" w:initials="ДАР">
    <w:p w14:paraId="0F2C4EA6" w14:textId="5B20F4FD" w:rsidR="004D7EE0" w:rsidRDefault="004D7EE0">
      <w:pPr>
        <w:pStyle w:val="af"/>
      </w:pPr>
      <w:r>
        <w:rPr>
          <w:rStyle w:val="ae"/>
        </w:rPr>
        <w:annotationRef/>
      </w:r>
      <w:r>
        <w:t>+</w:t>
      </w:r>
    </w:p>
  </w:comment>
  <w:comment w:id="15" w:author="Сарайкин Денис Игоревич" w:date="2024-12-26T16:39:00Z" w:initials="СДИ">
    <w:p w14:paraId="63013695" w14:textId="3BB18F99" w:rsidR="00E05569" w:rsidRDefault="00E05569">
      <w:pPr>
        <w:pStyle w:val="af"/>
      </w:pPr>
      <w:r>
        <w:rPr>
          <w:rStyle w:val="ae"/>
        </w:rPr>
        <w:annotationRef/>
      </w:r>
      <w:r>
        <w:t>будто бы получается «показатели индекса физического ОБЪЕМА</w:t>
      </w:r>
      <w:r w:rsidR="00C117B2">
        <w:t xml:space="preserve"> по ОБЪЕМУ инвестиций…»</w:t>
      </w:r>
      <w:r w:rsidR="00E04F4F">
        <w:t>: либо запятая пропущена, либо лишнее слово «объему»</w:t>
      </w:r>
    </w:p>
  </w:comment>
  <w:comment w:id="16" w:author="Данкуца Александр Русланович" w:date="2024-12-26T17:46:00Z" w:initials="ДАР">
    <w:p w14:paraId="75549281" w14:textId="0F81D72D" w:rsidR="004D7EE0" w:rsidRDefault="004D7EE0">
      <w:pPr>
        <w:pStyle w:val="af"/>
      </w:pPr>
      <w:r>
        <w:rPr>
          <w:rStyle w:val="ae"/>
        </w:rPr>
        <w:annotationRef/>
      </w:r>
      <w:r>
        <w:t>запятая пропущена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45C15C" w15:done="0"/>
  <w15:commentEx w15:paraId="75C70CD0" w15:paraIdParent="3D45C15C" w15:done="0"/>
  <w15:commentEx w15:paraId="46C05909" w15:done="0"/>
  <w15:commentEx w15:paraId="65FFA2F1" w15:paraIdParent="46C05909" w15:done="0"/>
  <w15:commentEx w15:paraId="1F1956CD" w15:done="0"/>
  <w15:commentEx w15:paraId="4A6EC233" w15:paraIdParent="1F1956CD" w15:done="0"/>
  <w15:commentEx w15:paraId="2CEE7E16" w15:done="0"/>
  <w15:commentEx w15:paraId="0C0B01D9" w15:done="0"/>
  <w15:commentEx w15:paraId="09526855" w15:paraIdParent="0C0B01D9" w15:done="0"/>
  <w15:commentEx w15:paraId="08DD8666" w15:done="0"/>
  <w15:commentEx w15:paraId="672C0DDB" w15:paraIdParent="08DD8666" w15:done="0"/>
  <w15:commentEx w15:paraId="7B986485" w15:done="0"/>
  <w15:commentEx w15:paraId="70970C27" w15:paraIdParent="7B986485" w15:done="0"/>
  <w15:commentEx w15:paraId="0F2C4EA6" w15:done="0"/>
  <w15:commentEx w15:paraId="63013695" w15:done="0"/>
  <w15:commentEx w15:paraId="75549281" w15:paraIdParent="6301369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1006" w14:textId="77777777" w:rsidR="00B82D16" w:rsidRDefault="00B82D16" w:rsidP="00CA1C93">
      <w:pPr>
        <w:spacing w:after="0" w:line="240" w:lineRule="auto"/>
      </w:pPr>
      <w:r>
        <w:separator/>
      </w:r>
    </w:p>
  </w:endnote>
  <w:endnote w:type="continuationSeparator" w:id="0">
    <w:p w14:paraId="0FAF1319" w14:textId="77777777" w:rsidR="00B82D16" w:rsidRDefault="00B82D16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DCDF" w14:textId="1AF0A2C2" w:rsidR="004C6902" w:rsidRPr="0071352E" w:rsidRDefault="004C6902" w:rsidP="0071352E">
    <w:pPr>
      <w:pStyle w:val="a5"/>
      <w:jc w:val="center"/>
    </w:pPr>
    <w:r>
      <w:t>Санкт-Петербург 202</w:t>
    </w:r>
    <w:r w:rsidR="0033653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6029" w14:textId="77777777" w:rsidR="00B82D16" w:rsidRDefault="00B82D16" w:rsidP="00CA1C93">
      <w:pPr>
        <w:spacing w:after="0" w:line="240" w:lineRule="auto"/>
      </w:pPr>
      <w:r>
        <w:separator/>
      </w:r>
    </w:p>
  </w:footnote>
  <w:footnote w:type="continuationSeparator" w:id="0">
    <w:p w14:paraId="0CD4FD1E" w14:textId="77777777" w:rsidR="00B82D16" w:rsidRDefault="00B82D16" w:rsidP="00CA1C93">
      <w:pPr>
        <w:spacing w:after="0" w:line="240" w:lineRule="auto"/>
      </w:pPr>
      <w:r>
        <w:continuationSeparator/>
      </w:r>
    </w:p>
  </w:footnote>
  <w:footnote w:id="1">
    <w:p w14:paraId="72EDFCB7" w14:textId="3C2AC9A4" w:rsidR="008F3DC9" w:rsidRDefault="00E24791" w:rsidP="000A7963">
      <w:pPr>
        <w:pStyle w:val="a9"/>
        <w:jc w:val="both"/>
      </w:pPr>
      <w:r>
        <w:rPr>
          <w:rStyle w:val="ab"/>
        </w:rPr>
        <w:footnoteRef/>
      </w:r>
      <w:r>
        <w:t xml:space="preserve"> Представлены виды деятельности, на которые приходится </w:t>
      </w:r>
      <w:r w:rsidR="008C0B41">
        <w:t>2</w:t>
      </w:r>
      <w:r>
        <w:t>% и более от объема инвестиций</w:t>
      </w:r>
      <w:r w:rsidR="008F3DC9">
        <w:t xml:space="preserve"> в основной капитал</w:t>
      </w:r>
      <w:r w:rsidR="00702377">
        <w:t>.</w:t>
      </w:r>
    </w:p>
  </w:footnote>
  <w:footnote w:id="2">
    <w:p w14:paraId="6DC5310D" w14:textId="5120557A" w:rsidR="00B07414" w:rsidRDefault="00B07414" w:rsidP="000A796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07414">
        <w:t>Представлены виды деятельности, на которые приходится 2% и более от объема инвестиций в основной капитал</w:t>
      </w:r>
      <w:r>
        <w:t xml:space="preserve"> обрабатывающих производств</w:t>
      </w:r>
      <w:r w:rsidR="00702377">
        <w:t>.</w:t>
      </w:r>
    </w:p>
  </w:footnote>
  <w:footnote w:id="3">
    <w:p w14:paraId="27B56E13" w14:textId="44254CC9" w:rsidR="00233969" w:rsidRDefault="00233969">
      <w:pPr>
        <w:pStyle w:val="a9"/>
      </w:pPr>
      <w:r>
        <w:rPr>
          <w:rStyle w:val="ab"/>
        </w:rPr>
        <w:footnoteRef/>
      </w:r>
      <w:r>
        <w:t xml:space="preserve"> </w:t>
      </w:r>
      <w:r w:rsidR="004D7EE0">
        <w:t xml:space="preserve">В </w:t>
      </w:r>
      <w:r w:rsidRPr="00233969">
        <w:t xml:space="preserve">Петербурге начинают строить крупный станкостроительный завод [Электронный ресурс] // Сетевое издание РБК. – Режим доступа: URL: </w:t>
      </w:r>
      <w:hyperlink r:id="rId1" w:history="1">
        <w:r w:rsidRPr="00AA48E5">
          <w:rPr>
            <w:rStyle w:val="ad"/>
          </w:rPr>
          <w:t>https://www.rbc.ru/spb_sz/14/04/2024/6616313d9a79472b1c3a0635</w:t>
        </w:r>
      </w:hyperlink>
      <w:r>
        <w:t xml:space="preserve"> </w:t>
      </w:r>
      <w:r w:rsidRPr="00233969">
        <w:t xml:space="preserve"> (дата обращения: 18.12.2024).</w:t>
      </w:r>
    </w:p>
  </w:footnote>
  <w:footnote w:id="4">
    <w:p w14:paraId="49521BD6" w14:textId="60FCF513" w:rsidR="00234E8E" w:rsidRPr="00234E8E" w:rsidRDefault="00234E8E" w:rsidP="00234E8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4E8E">
        <w:t>В ОЭЗ "Санкт-Петербург" в 2024 году планируют построить завод за 1,5 млрд рублей</w:t>
      </w:r>
      <w:r w:rsidR="00296C1E">
        <w:t xml:space="preserve"> </w:t>
      </w:r>
      <w:r w:rsidR="00296C1E" w:rsidRPr="00233969">
        <w:t>[Электронный ресурс] //</w:t>
      </w:r>
      <w:r>
        <w:t xml:space="preserve"> ТАСС. </w:t>
      </w:r>
      <w:r w:rsidR="00296C1E" w:rsidRPr="00233969">
        <w:t>Режим доступа:</w:t>
      </w:r>
      <w:r w:rsidR="00296C1E">
        <w:t xml:space="preserve"> </w:t>
      </w:r>
      <w:r>
        <w:rPr>
          <w:lang w:val="en-US"/>
        </w:rPr>
        <w:t>URL</w:t>
      </w:r>
      <w:r>
        <w:t xml:space="preserve">: </w:t>
      </w:r>
      <w:hyperlink r:id="rId2" w:history="1">
        <w:r w:rsidRPr="00AE0B0F">
          <w:rPr>
            <w:rStyle w:val="ad"/>
          </w:rPr>
          <w:t>https://tass.ru/ekonomika/18751711?utm_source=rfinance</w:t>
        </w:r>
      </w:hyperlink>
      <w:r>
        <w:t xml:space="preserve"> (дата обращения: 13.</w:t>
      </w:r>
      <w:r w:rsidR="00296C1E">
        <w:t>12</w:t>
      </w:r>
      <w:r>
        <w:t>.2024)</w:t>
      </w:r>
    </w:p>
  </w:footnote>
  <w:footnote w:id="5">
    <w:p w14:paraId="28D95DE2" w14:textId="734550D4" w:rsidR="00296C1E" w:rsidRDefault="00296C1E">
      <w:pPr>
        <w:pStyle w:val="a9"/>
      </w:pPr>
      <w:r>
        <w:rPr>
          <w:rStyle w:val="ab"/>
        </w:rPr>
        <w:footnoteRef/>
      </w:r>
      <w:r>
        <w:t xml:space="preserve"> </w:t>
      </w:r>
      <w:r w:rsidRPr="00296C1E">
        <w:t>В ОЭЗ «Санкт-Петербург» построят завод по производству электротехнического оборудования</w:t>
      </w:r>
      <w:r>
        <w:t xml:space="preserve"> </w:t>
      </w:r>
      <w:r w:rsidRPr="00233969">
        <w:t>[Электронный ресурс] //</w:t>
      </w:r>
      <w:r>
        <w:t xml:space="preserve"> </w:t>
      </w:r>
      <w:r w:rsidRPr="00296C1E">
        <w:t>Сетевое издание Ведомости. – Режим доступа: URL:</w:t>
      </w:r>
      <w:r>
        <w:t xml:space="preserve"> </w:t>
      </w:r>
      <w:hyperlink r:id="rId3" w:history="1">
        <w:r w:rsidRPr="00AA48E5">
          <w:rPr>
            <w:rStyle w:val="ad"/>
          </w:rPr>
          <w:t>https://spb.vedomosti.ru/economics/articles/2024/09/06/1060588-v-oez-sankt-peterburg-postroyat-zavod-po-proizvodstvu-elektrotehnicheskogo-oborudovaniya</w:t>
        </w:r>
      </w:hyperlink>
      <w:r>
        <w:t xml:space="preserve"> </w:t>
      </w:r>
      <w:r w:rsidRPr="00233969">
        <w:t>(дата обращения: 18.12.2024).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E9B" w14:textId="6A455D10" w:rsidR="004C6902" w:rsidRDefault="004C6902">
    <w:pPr>
      <w:pStyle w:val="a3"/>
    </w:pPr>
    <w:r w:rsidRPr="00CA1C9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FC2DAF9" wp14:editId="6293CBC6">
          <wp:simplePos x="0" y="0"/>
          <wp:positionH relativeFrom="margin">
            <wp:posOffset>0</wp:posOffset>
          </wp:positionH>
          <wp:positionV relativeFrom="margin">
            <wp:posOffset>-389890</wp:posOffset>
          </wp:positionV>
          <wp:extent cx="3862070" cy="359410"/>
          <wp:effectExtent l="0" t="0" r="0" b="254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0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C9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FD21FD" wp14:editId="00414229">
          <wp:simplePos x="0" y="0"/>
          <wp:positionH relativeFrom="column">
            <wp:posOffset>5328920</wp:posOffset>
          </wp:positionH>
          <wp:positionV relativeFrom="paragraph">
            <wp:posOffset>-216943</wp:posOffset>
          </wp:positionV>
          <wp:extent cx="1313815" cy="359410"/>
          <wp:effectExtent l="0" t="0" r="635" b="254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3C4"/>
    <w:multiLevelType w:val="hybridMultilevel"/>
    <w:tmpl w:val="608EB9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EC7E8E"/>
    <w:multiLevelType w:val="hybridMultilevel"/>
    <w:tmpl w:val="C54467C6"/>
    <w:lvl w:ilvl="0" w:tplc="8954E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райкин Денис Игоревич">
    <w15:presenceInfo w15:providerId="AD" w15:userId="S-1-5-21-513919707-3073936391-1394548290-15690"/>
  </w15:person>
  <w15:person w15:author="Данкуца Александр Русланович">
    <w15:presenceInfo w15:providerId="AD" w15:userId="S-1-5-21-513919707-3073936391-1394548290-11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93"/>
    <w:rsid w:val="0000221F"/>
    <w:rsid w:val="000042BA"/>
    <w:rsid w:val="00022450"/>
    <w:rsid w:val="00032C3F"/>
    <w:rsid w:val="0004272D"/>
    <w:rsid w:val="0005210A"/>
    <w:rsid w:val="0006453C"/>
    <w:rsid w:val="0006785D"/>
    <w:rsid w:val="0008302A"/>
    <w:rsid w:val="000949D1"/>
    <w:rsid w:val="000A7963"/>
    <w:rsid w:val="000B34EA"/>
    <w:rsid w:val="000B58F1"/>
    <w:rsid w:val="000B5F37"/>
    <w:rsid w:val="000C2F29"/>
    <w:rsid w:val="000D042E"/>
    <w:rsid w:val="000D2045"/>
    <w:rsid w:val="000E3EDE"/>
    <w:rsid w:val="000F4DA4"/>
    <w:rsid w:val="000F70DD"/>
    <w:rsid w:val="000F7E1F"/>
    <w:rsid w:val="00106160"/>
    <w:rsid w:val="00111964"/>
    <w:rsid w:val="00112836"/>
    <w:rsid w:val="00134FEC"/>
    <w:rsid w:val="001371EB"/>
    <w:rsid w:val="00157751"/>
    <w:rsid w:val="00157B82"/>
    <w:rsid w:val="00161612"/>
    <w:rsid w:val="001661ED"/>
    <w:rsid w:val="00167EB7"/>
    <w:rsid w:val="001702D7"/>
    <w:rsid w:val="00197518"/>
    <w:rsid w:val="00197851"/>
    <w:rsid w:val="001A0843"/>
    <w:rsid w:val="001B0325"/>
    <w:rsid w:val="001B4CB3"/>
    <w:rsid w:val="001C4F8A"/>
    <w:rsid w:val="001C62AD"/>
    <w:rsid w:val="001D1751"/>
    <w:rsid w:val="001D31C2"/>
    <w:rsid w:val="001E1AEF"/>
    <w:rsid w:val="001E59C6"/>
    <w:rsid w:val="001F0359"/>
    <w:rsid w:val="001F6B7C"/>
    <w:rsid w:val="00201B6E"/>
    <w:rsid w:val="00211EA2"/>
    <w:rsid w:val="002155B3"/>
    <w:rsid w:val="002201AB"/>
    <w:rsid w:val="00226A9C"/>
    <w:rsid w:val="002334DD"/>
    <w:rsid w:val="00233969"/>
    <w:rsid w:val="00234E8E"/>
    <w:rsid w:val="002452D5"/>
    <w:rsid w:val="002457AB"/>
    <w:rsid w:val="002624ED"/>
    <w:rsid w:val="002637B4"/>
    <w:rsid w:val="00267C01"/>
    <w:rsid w:val="00274EAA"/>
    <w:rsid w:val="00285F6C"/>
    <w:rsid w:val="002929A2"/>
    <w:rsid w:val="00296C1E"/>
    <w:rsid w:val="00297266"/>
    <w:rsid w:val="002A03D5"/>
    <w:rsid w:val="002A33F1"/>
    <w:rsid w:val="002A4B2B"/>
    <w:rsid w:val="002A6370"/>
    <w:rsid w:val="002B0274"/>
    <w:rsid w:val="002B0399"/>
    <w:rsid w:val="002B3C23"/>
    <w:rsid w:val="002B52D9"/>
    <w:rsid w:val="002B5D2C"/>
    <w:rsid w:val="002B64EB"/>
    <w:rsid w:val="002C216B"/>
    <w:rsid w:val="002C25C3"/>
    <w:rsid w:val="002C5225"/>
    <w:rsid w:val="002D1012"/>
    <w:rsid w:val="002D280B"/>
    <w:rsid w:val="002D52B4"/>
    <w:rsid w:val="002D7A02"/>
    <w:rsid w:val="002E30BF"/>
    <w:rsid w:val="002E6D60"/>
    <w:rsid w:val="002E75ED"/>
    <w:rsid w:val="002F43A4"/>
    <w:rsid w:val="002F704E"/>
    <w:rsid w:val="00307660"/>
    <w:rsid w:val="00312514"/>
    <w:rsid w:val="00314308"/>
    <w:rsid w:val="003206E6"/>
    <w:rsid w:val="00323F11"/>
    <w:rsid w:val="00331363"/>
    <w:rsid w:val="00331A60"/>
    <w:rsid w:val="00336534"/>
    <w:rsid w:val="0034771C"/>
    <w:rsid w:val="00347B0B"/>
    <w:rsid w:val="003501AF"/>
    <w:rsid w:val="00351382"/>
    <w:rsid w:val="0035252C"/>
    <w:rsid w:val="00372101"/>
    <w:rsid w:val="00386F53"/>
    <w:rsid w:val="0038790C"/>
    <w:rsid w:val="003951C3"/>
    <w:rsid w:val="00397A7F"/>
    <w:rsid w:val="003A09AC"/>
    <w:rsid w:val="003A3649"/>
    <w:rsid w:val="003A58CF"/>
    <w:rsid w:val="003A6B46"/>
    <w:rsid w:val="003A720C"/>
    <w:rsid w:val="003D0366"/>
    <w:rsid w:val="003D401B"/>
    <w:rsid w:val="003E4D00"/>
    <w:rsid w:val="003F0B4F"/>
    <w:rsid w:val="003F1B9F"/>
    <w:rsid w:val="003F2187"/>
    <w:rsid w:val="003F351A"/>
    <w:rsid w:val="003F4D67"/>
    <w:rsid w:val="003F53B8"/>
    <w:rsid w:val="003F7000"/>
    <w:rsid w:val="00400B4C"/>
    <w:rsid w:val="004027C4"/>
    <w:rsid w:val="00413101"/>
    <w:rsid w:val="0042107B"/>
    <w:rsid w:val="00427702"/>
    <w:rsid w:val="00431FB8"/>
    <w:rsid w:val="004327B7"/>
    <w:rsid w:val="00436364"/>
    <w:rsid w:val="0044413E"/>
    <w:rsid w:val="004452AD"/>
    <w:rsid w:val="00453C24"/>
    <w:rsid w:val="004569AF"/>
    <w:rsid w:val="004620F4"/>
    <w:rsid w:val="0046389A"/>
    <w:rsid w:val="0046540D"/>
    <w:rsid w:val="004710BE"/>
    <w:rsid w:val="00482C76"/>
    <w:rsid w:val="00491F12"/>
    <w:rsid w:val="004968B3"/>
    <w:rsid w:val="00496932"/>
    <w:rsid w:val="004A2BD8"/>
    <w:rsid w:val="004A6A9A"/>
    <w:rsid w:val="004B315A"/>
    <w:rsid w:val="004C1C08"/>
    <w:rsid w:val="004C6902"/>
    <w:rsid w:val="004C7EBE"/>
    <w:rsid w:val="004D60DB"/>
    <w:rsid w:val="004D6DEE"/>
    <w:rsid w:val="004D6EBA"/>
    <w:rsid w:val="004D7EE0"/>
    <w:rsid w:val="004E2F2A"/>
    <w:rsid w:val="004E3F71"/>
    <w:rsid w:val="004E6A4A"/>
    <w:rsid w:val="004F09EA"/>
    <w:rsid w:val="00510A2E"/>
    <w:rsid w:val="00517AC2"/>
    <w:rsid w:val="005238A9"/>
    <w:rsid w:val="00524A2A"/>
    <w:rsid w:val="00545256"/>
    <w:rsid w:val="00547448"/>
    <w:rsid w:val="0054762A"/>
    <w:rsid w:val="0055064D"/>
    <w:rsid w:val="0058366B"/>
    <w:rsid w:val="0058461F"/>
    <w:rsid w:val="00591785"/>
    <w:rsid w:val="00591DB1"/>
    <w:rsid w:val="00595CA2"/>
    <w:rsid w:val="00596C0A"/>
    <w:rsid w:val="005A286A"/>
    <w:rsid w:val="005A2D14"/>
    <w:rsid w:val="005B09DF"/>
    <w:rsid w:val="005C136E"/>
    <w:rsid w:val="005D475C"/>
    <w:rsid w:val="005D7C35"/>
    <w:rsid w:val="005E27A4"/>
    <w:rsid w:val="005E2B6C"/>
    <w:rsid w:val="00601473"/>
    <w:rsid w:val="00601A11"/>
    <w:rsid w:val="00601AFD"/>
    <w:rsid w:val="00602A1B"/>
    <w:rsid w:val="00606A7E"/>
    <w:rsid w:val="00610276"/>
    <w:rsid w:val="00616817"/>
    <w:rsid w:val="00620653"/>
    <w:rsid w:val="00633582"/>
    <w:rsid w:val="00635594"/>
    <w:rsid w:val="00637F03"/>
    <w:rsid w:val="00647C12"/>
    <w:rsid w:val="006510E4"/>
    <w:rsid w:val="00670697"/>
    <w:rsid w:val="00670F9C"/>
    <w:rsid w:val="00690541"/>
    <w:rsid w:val="0069061E"/>
    <w:rsid w:val="0069204F"/>
    <w:rsid w:val="006A29A6"/>
    <w:rsid w:val="006A2DD3"/>
    <w:rsid w:val="006B1C98"/>
    <w:rsid w:val="006C3B6D"/>
    <w:rsid w:val="006C40A5"/>
    <w:rsid w:val="006D44E0"/>
    <w:rsid w:val="006D5140"/>
    <w:rsid w:val="006D58F9"/>
    <w:rsid w:val="006E5AB7"/>
    <w:rsid w:val="006F2ABD"/>
    <w:rsid w:val="006F5209"/>
    <w:rsid w:val="006F569B"/>
    <w:rsid w:val="006F74B6"/>
    <w:rsid w:val="00700A07"/>
    <w:rsid w:val="00702377"/>
    <w:rsid w:val="00704444"/>
    <w:rsid w:val="007114BF"/>
    <w:rsid w:val="00713341"/>
    <w:rsid w:val="0071352E"/>
    <w:rsid w:val="0071464E"/>
    <w:rsid w:val="00715431"/>
    <w:rsid w:val="007205BA"/>
    <w:rsid w:val="00733533"/>
    <w:rsid w:val="00733C26"/>
    <w:rsid w:val="00741FB3"/>
    <w:rsid w:val="00742935"/>
    <w:rsid w:val="00743DDD"/>
    <w:rsid w:val="007535A7"/>
    <w:rsid w:val="007536D8"/>
    <w:rsid w:val="007555D6"/>
    <w:rsid w:val="0076330B"/>
    <w:rsid w:val="0077264A"/>
    <w:rsid w:val="007813AF"/>
    <w:rsid w:val="007848E5"/>
    <w:rsid w:val="00791830"/>
    <w:rsid w:val="007921FD"/>
    <w:rsid w:val="00792942"/>
    <w:rsid w:val="0079439B"/>
    <w:rsid w:val="00796295"/>
    <w:rsid w:val="007A3AD1"/>
    <w:rsid w:val="007A70AD"/>
    <w:rsid w:val="007B21EB"/>
    <w:rsid w:val="007B2F4B"/>
    <w:rsid w:val="007C7226"/>
    <w:rsid w:val="007D1B4C"/>
    <w:rsid w:val="007D7DAD"/>
    <w:rsid w:val="007F59A1"/>
    <w:rsid w:val="007F61E2"/>
    <w:rsid w:val="007F6D91"/>
    <w:rsid w:val="00807D5F"/>
    <w:rsid w:val="00813989"/>
    <w:rsid w:val="0082130D"/>
    <w:rsid w:val="00833BFA"/>
    <w:rsid w:val="008444C7"/>
    <w:rsid w:val="00845B5D"/>
    <w:rsid w:val="00846C55"/>
    <w:rsid w:val="0085562D"/>
    <w:rsid w:val="00865D05"/>
    <w:rsid w:val="008705CE"/>
    <w:rsid w:val="00877988"/>
    <w:rsid w:val="00886DCA"/>
    <w:rsid w:val="0089140F"/>
    <w:rsid w:val="008945A2"/>
    <w:rsid w:val="00895510"/>
    <w:rsid w:val="008A143D"/>
    <w:rsid w:val="008A1C30"/>
    <w:rsid w:val="008A43EC"/>
    <w:rsid w:val="008B3E9A"/>
    <w:rsid w:val="008B5A3D"/>
    <w:rsid w:val="008C0B41"/>
    <w:rsid w:val="008C2548"/>
    <w:rsid w:val="008C4A27"/>
    <w:rsid w:val="008C7D5A"/>
    <w:rsid w:val="008D075B"/>
    <w:rsid w:val="008D1D62"/>
    <w:rsid w:val="008D3166"/>
    <w:rsid w:val="008D4215"/>
    <w:rsid w:val="008E048D"/>
    <w:rsid w:val="008E1735"/>
    <w:rsid w:val="008E40A2"/>
    <w:rsid w:val="008F248C"/>
    <w:rsid w:val="008F3DC9"/>
    <w:rsid w:val="008F4EAF"/>
    <w:rsid w:val="00904B9D"/>
    <w:rsid w:val="00906E94"/>
    <w:rsid w:val="009075C4"/>
    <w:rsid w:val="00911606"/>
    <w:rsid w:val="009155D0"/>
    <w:rsid w:val="00917ED4"/>
    <w:rsid w:val="0092307C"/>
    <w:rsid w:val="00926217"/>
    <w:rsid w:val="0093022E"/>
    <w:rsid w:val="00930AF9"/>
    <w:rsid w:val="00940027"/>
    <w:rsid w:val="0094481F"/>
    <w:rsid w:val="00945518"/>
    <w:rsid w:val="00947675"/>
    <w:rsid w:val="00951301"/>
    <w:rsid w:val="009521F7"/>
    <w:rsid w:val="00954590"/>
    <w:rsid w:val="009607C5"/>
    <w:rsid w:val="0096239A"/>
    <w:rsid w:val="009652C5"/>
    <w:rsid w:val="00970F63"/>
    <w:rsid w:val="009742B2"/>
    <w:rsid w:val="009765A5"/>
    <w:rsid w:val="009B16BF"/>
    <w:rsid w:val="009C1A1A"/>
    <w:rsid w:val="009C2928"/>
    <w:rsid w:val="009D0DFC"/>
    <w:rsid w:val="009D17E8"/>
    <w:rsid w:val="009D18DC"/>
    <w:rsid w:val="00A008E9"/>
    <w:rsid w:val="00A03A68"/>
    <w:rsid w:val="00A12747"/>
    <w:rsid w:val="00A31AEE"/>
    <w:rsid w:val="00A339B5"/>
    <w:rsid w:val="00A40883"/>
    <w:rsid w:val="00A62E40"/>
    <w:rsid w:val="00A64C48"/>
    <w:rsid w:val="00A7079B"/>
    <w:rsid w:val="00A91AEA"/>
    <w:rsid w:val="00AB1AF1"/>
    <w:rsid w:val="00AB5211"/>
    <w:rsid w:val="00AB540A"/>
    <w:rsid w:val="00AC413A"/>
    <w:rsid w:val="00AC6045"/>
    <w:rsid w:val="00AC794A"/>
    <w:rsid w:val="00AE13F2"/>
    <w:rsid w:val="00AF414E"/>
    <w:rsid w:val="00AF4F83"/>
    <w:rsid w:val="00B06AB5"/>
    <w:rsid w:val="00B07414"/>
    <w:rsid w:val="00B146BE"/>
    <w:rsid w:val="00B1500C"/>
    <w:rsid w:val="00B33302"/>
    <w:rsid w:val="00B410A4"/>
    <w:rsid w:val="00B44E27"/>
    <w:rsid w:val="00B50BE7"/>
    <w:rsid w:val="00B53788"/>
    <w:rsid w:val="00B53F7E"/>
    <w:rsid w:val="00B54F39"/>
    <w:rsid w:val="00B66158"/>
    <w:rsid w:val="00B70F00"/>
    <w:rsid w:val="00B75B75"/>
    <w:rsid w:val="00B75F45"/>
    <w:rsid w:val="00B82D16"/>
    <w:rsid w:val="00B9472F"/>
    <w:rsid w:val="00B96F4E"/>
    <w:rsid w:val="00BA0486"/>
    <w:rsid w:val="00BA3118"/>
    <w:rsid w:val="00BA376B"/>
    <w:rsid w:val="00BA3EB9"/>
    <w:rsid w:val="00BA6086"/>
    <w:rsid w:val="00BB1FAC"/>
    <w:rsid w:val="00BB3866"/>
    <w:rsid w:val="00BC0081"/>
    <w:rsid w:val="00BC20F7"/>
    <w:rsid w:val="00BC52D1"/>
    <w:rsid w:val="00BD05FA"/>
    <w:rsid w:val="00BE706F"/>
    <w:rsid w:val="00BF086F"/>
    <w:rsid w:val="00BF0B66"/>
    <w:rsid w:val="00BF2686"/>
    <w:rsid w:val="00BF2873"/>
    <w:rsid w:val="00BF4230"/>
    <w:rsid w:val="00C02ADF"/>
    <w:rsid w:val="00C117B2"/>
    <w:rsid w:val="00C145D8"/>
    <w:rsid w:val="00C17120"/>
    <w:rsid w:val="00C26FFA"/>
    <w:rsid w:val="00C376DD"/>
    <w:rsid w:val="00C42DA1"/>
    <w:rsid w:val="00C4508A"/>
    <w:rsid w:val="00C566D5"/>
    <w:rsid w:val="00C56BF7"/>
    <w:rsid w:val="00C575EB"/>
    <w:rsid w:val="00C641BF"/>
    <w:rsid w:val="00C65D8E"/>
    <w:rsid w:val="00C74F99"/>
    <w:rsid w:val="00C8470B"/>
    <w:rsid w:val="00C9395B"/>
    <w:rsid w:val="00C94391"/>
    <w:rsid w:val="00CA1C93"/>
    <w:rsid w:val="00CA55BE"/>
    <w:rsid w:val="00CA77F2"/>
    <w:rsid w:val="00CB1FFC"/>
    <w:rsid w:val="00CB3395"/>
    <w:rsid w:val="00CB5AC0"/>
    <w:rsid w:val="00CB665E"/>
    <w:rsid w:val="00CC07CC"/>
    <w:rsid w:val="00CC4D9E"/>
    <w:rsid w:val="00CC762C"/>
    <w:rsid w:val="00CD4CBE"/>
    <w:rsid w:val="00CE1FE8"/>
    <w:rsid w:val="00CE4C16"/>
    <w:rsid w:val="00CF5647"/>
    <w:rsid w:val="00CF7A24"/>
    <w:rsid w:val="00D10D44"/>
    <w:rsid w:val="00D33AA1"/>
    <w:rsid w:val="00D35650"/>
    <w:rsid w:val="00D37217"/>
    <w:rsid w:val="00D40F68"/>
    <w:rsid w:val="00D459AD"/>
    <w:rsid w:val="00D51FBA"/>
    <w:rsid w:val="00D52231"/>
    <w:rsid w:val="00D547B5"/>
    <w:rsid w:val="00D54CF8"/>
    <w:rsid w:val="00D54FF9"/>
    <w:rsid w:val="00D55B4B"/>
    <w:rsid w:val="00D609F3"/>
    <w:rsid w:val="00D62E17"/>
    <w:rsid w:val="00D640ED"/>
    <w:rsid w:val="00D65532"/>
    <w:rsid w:val="00D6674F"/>
    <w:rsid w:val="00D713F1"/>
    <w:rsid w:val="00D84899"/>
    <w:rsid w:val="00D913CA"/>
    <w:rsid w:val="00D91D9D"/>
    <w:rsid w:val="00DA3189"/>
    <w:rsid w:val="00DA4F65"/>
    <w:rsid w:val="00DB1BF1"/>
    <w:rsid w:val="00DB2C84"/>
    <w:rsid w:val="00DC3193"/>
    <w:rsid w:val="00DC4DE7"/>
    <w:rsid w:val="00DD0A05"/>
    <w:rsid w:val="00DD51BB"/>
    <w:rsid w:val="00DD673B"/>
    <w:rsid w:val="00DF5B21"/>
    <w:rsid w:val="00E04F4F"/>
    <w:rsid w:val="00E05569"/>
    <w:rsid w:val="00E10590"/>
    <w:rsid w:val="00E1132D"/>
    <w:rsid w:val="00E158B9"/>
    <w:rsid w:val="00E216C7"/>
    <w:rsid w:val="00E24791"/>
    <w:rsid w:val="00E263CA"/>
    <w:rsid w:val="00E34B2B"/>
    <w:rsid w:val="00E35A2E"/>
    <w:rsid w:val="00E45039"/>
    <w:rsid w:val="00E514D4"/>
    <w:rsid w:val="00E725AC"/>
    <w:rsid w:val="00E72CA2"/>
    <w:rsid w:val="00E73BC9"/>
    <w:rsid w:val="00E81546"/>
    <w:rsid w:val="00E8681C"/>
    <w:rsid w:val="00E919AD"/>
    <w:rsid w:val="00EA75EB"/>
    <w:rsid w:val="00EB244B"/>
    <w:rsid w:val="00EB31D9"/>
    <w:rsid w:val="00EB3E20"/>
    <w:rsid w:val="00EB6D58"/>
    <w:rsid w:val="00EB705C"/>
    <w:rsid w:val="00EC7D03"/>
    <w:rsid w:val="00ED0091"/>
    <w:rsid w:val="00ED6981"/>
    <w:rsid w:val="00EF08DF"/>
    <w:rsid w:val="00EF3394"/>
    <w:rsid w:val="00EF4E59"/>
    <w:rsid w:val="00EF5908"/>
    <w:rsid w:val="00EF6602"/>
    <w:rsid w:val="00F111C4"/>
    <w:rsid w:val="00F11A15"/>
    <w:rsid w:val="00F13861"/>
    <w:rsid w:val="00F1781C"/>
    <w:rsid w:val="00F2230B"/>
    <w:rsid w:val="00F23A23"/>
    <w:rsid w:val="00F23F6A"/>
    <w:rsid w:val="00F4237A"/>
    <w:rsid w:val="00F5195F"/>
    <w:rsid w:val="00F64BE3"/>
    <w:rsid w:val="00F7463A"/>
    <w:rsid w:val="00F771A8"/>
    <w:rsid w:val="00F80937"/>
    <w:rsid w:val="00F81775"/>
    <w:rsid w:val="00F86256"/>
    <w:rsid w:val="00F8662A"/>
    <w:rsid w:val="00F905F0"/>
    <w:rsid w:val="00F93119"/>
    <w:rsid w:val="00FB2329"/>
    <w:rsid w:val="00FB67ED"/>
    <w:rsid w:val="00FC1BC6"/>
    <w:rsid w:val="00FD056D"/>
    <w:rsid w:val="00FD0EAB"/>
    <w:rsid w:val="00FD4B9E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BA74"/>
  <w15:chartTrackingRefBased/>
  <w15:docId w15:val="{C1307BD7-22D5-4AEB-A339-FD42F6F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  <w:style w:type="paragraph" w:styleId="a7">
    <w:name w:val="List Paragraph"/>
    <w:basedOn w:val="a"/>
    <w:uiPriority w:val="34"/>
    <w:qFormat/>
    <w:rsid w:val="00B70F00"/>
    <w:pPr>
      <w:spacing w:after="40" w:line="360" w:lineRule="auto"/>
      <w:ind w:left="720"/>
      <w:contextualSpacing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B7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70F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0F00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F00"/>
    <w:rPr>
      <w:vertAlign w:val="superscript"/>
    </w:rPr>
  </w:style>
  <w:style w:type="paragraph" w:styleId="ac">
    <w:name w:val="Normal (Web)"/>
    <w:basedOn w:val="a"/>
    <w:uiPriority w:val="99"/>
    <w:unhideWhenUsed/>
    <w:rsid w:val="00B7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80937"/>
    <w:rPr>
      <w:color w:val="574DF7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A14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43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4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4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43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43D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9607C5"/>
    <w:rPr>
      <w:color w:val="9A95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pb.vedomosti.ru/economics/articles/2024/09/06/1060588-v-oez-sankt-peterburg-postroyat-zavod-po-proizvodstvu-elektrotehnicheskogo-oborudovaniya" TargetMode="External"/><Relationship Id="rId2" Type="http://schemas.openxmlformats.org/officeDocument/2006/relationships/hyperlink" Target="https://tass.ru/ekonomika/18751711?utm_source=rfinance" TargetMode="External"/><Relationship Id="rId1" Type="http://schemas.openxmlformats.org/officeDocument/2006/relationships/hyperlink" Target="https://www.rbc.ru/spb_sz/14/04/2024/6616313d9a79472b1c3a063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88450051711796E-2"/>
          <c:y val="2.8548691029005976E-2"/>
          <c:w val="0.86672200457701409"/>
          <c:h val="0.747869641294838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инвестиций, млдр руб.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704433497536944E-3"/>
                  <c:y val="3.3630401883301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9F-4BAB-BC16-6522EC1BFD5C}"/>
                </c:ext>
              </c:extLst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428.59860399999997</c:v>
                </c:pt>
                <c:pt idx="1">
                  <c:v>468.48200000000003</c:v>
                </c:pt>
                <c:pt idx="2">
                  <c:v>524.5788</c:v>
                </c:pt>
                <c:pt idx="3">
                  <c:v>551.3146999999999</c:v>
                </c:pt>
                <c:pt idx="4">
                  <c:v>690.32650000000001</c:v>
                </c:pt>
                <c:pt idx="5">
                  <c:v>899.60795799999994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47"/>
        <c:axId val="100656256"/>
        <c:axId val="100657792"/>
      </c:barChart>
      <c:lineChart>
        <c:grouping val="standard"/>
        <c:varyColors val="0"/>
        <c:ser>
          <c:idx val="2"/>
          <c:order val="1"/>
          <c:tx>
            <c:strRef>
              <c:f>Лист1!$D$1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mpd="sng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9B4-4FA4-A3B5-0307F44BF4E0}"/>
                </c:ext>
              </c:extLst>
            </c:dLbl>
            <c:dLbl>
              <c:idx val="1"/>
              <c:layout>
                <c:manualLayout>
                  <c:x val="-3.5402816027306931E-2"/>
                  <c:y val="-5.7751832745044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3-4F68-8348-7EA9A09BD39B}"/>
                </c:ext>
              </c:extLst>
            </c:dLbl>
            <c:dLbl>
              <c:idx val="2"/>
              <c:layout>
                <c:manualLayout>
                  <c:x val="-3.3251309103603501E-2"/>
                  <c:y val="-4.766273058232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3-4F68-8348-7EA9A09BD39B}"/>
                </c:ext>
              </c:extLst>
            </c:dLbl>
            <c:dLbl>
              <c:idx val="3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0DB-41BF-90E2-3AD4C742BD45}"/>
                </c:ext>
              </c:extLst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 i="0">
                    <a:solidFill>
                      <a:srgbClr val="00B05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#\ ##0.0</c:formatCode>
                <c:ptCount val="6"/>
                <c:pt idx="0">
                  <c:v>78.20014699639799</c:v>
                </c:pt>
                <c:pt idx="1">
                  <c:v>102.5</c:v>
                </c:pt>
                <c:pt idx="2" formatCode="0.0">
                  <c:v>104.5</c:v>
                </c:pt>
                <c:pt idx="3" formatCode="0.0">
                  <c:v>89.8</c:v>
                </c:pt>
                <c:pt idx="4" formatCode="_-* #\ ##0.0_р_._-;\-* #\ ##0.0_р_._-;_-* &quot;-&quot;??_р_._-;_-@_-">
                  <c:v>114.3</c:v>
                </c:pt>
                <c:pt idx="5">
                  <c:v>119.3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61248"/>
        <c:axId val="101859712"/>
      </c:lineChart>
      <c:catAx>
        <c:axId val="10065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CDCDD1"/>
            </a:solidFill>
          </a:ln>
        </c:spPr>
        <c:txPr>
          <a:bodyPr/>
          <a:lstStyle/>
          <a:p>
            <a:pPr>
              <a:defRPr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57792"/>
        <c:crossesAt val="0"/>
        <c:auto val="1"/>
        <c:lblAlgn val="ctr"/>
        <c:lblOffset val="100"/>
        <c:noMultiLvlLbl val="0"/>
      </c:catAx>
      <c:valAx>
        <c:axId val="100657792"/>
        <c:scaling>
          <c:orientation val="minMax"/>
          <c:max val="1200"/>
          <c:min val="0"/>
        </c:scaling>
        <c:delete val="0"/>
        <c:axPos val="l"/>
        <c:numFmt formatCode="0" sourceLinked="0"/>
        <c:majorTickMark val="none"/>
        <c:minorTickMark val="none"/>
        <c:tickLblPos val="low"/>
        <c:spPr>
          <a:ln w="0"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56256"/>
        <c:crosses val="autoZero"/>
        <c:crossBetween val="between"/>
        <c:majorUnit val="200"/>
        <c:minorUnit val="200"/>
      </c:valAx>
      <c:valAx>
        <c:axId val="10185971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ln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861248"/>
        <c:crosses val="max"/>
        <c:crossBetween val="between"/>
        <c:majorUnit val="0.2"/>
      </c:valAx>
      <c:catAx>
        <c:axId val="101861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85971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4202133354020403"/>
          <c:y val="0.8816690504509116"/>
          <c:w val="0.49348993444784917"/>
          <c:h val="7.904307372668283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659047473434755E-2"/>
          <c:y val="2.0633192364307579E-2"/>
          <c:w val="0.94311655777904535"/>
          <c:h val="0.80611135774200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общего объема инвестиций в 2023 году, %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6011949215832666E-3"/>
                  <c:y val="-6.9229031830962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74-4B1E-8E3C-07D2E465B0E6}"/>
                </c:ext>
              </c:extLst>
            </c:dLbl>
            <c:dLbl>
              <c:idx val="2"/>
              <c:layout>
                <c:manualLayout>
                  <c:x val="-1.7650379587540355E-3"/>
                  <c:y val="1.65580192683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74-4B1E-8E3C-07D2E465B0E6}"/>
                </c:ext>
              </c:extLst>
            </c:dLbl>
            <c:dLbl>
              <c:idx val="5"/>
              <c:layout>
                <c:manualLayout>
                  <c:x val="-3.7048743626986879E-3"/>
                  <c:y val="7.7382850508171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C3-4122-9635-F0203FE4FDF3}"/>
                </c:ext>
              </c:extLst>
            </c:dLbl>
            <c:dLbl>
              <c:idx val="8"/>
              <c:layout>
                <c:manualLayout>
                  <c:x val="1.8670649738610904E-3"/>
                  <c:y val="1.0230179028132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23-4BF3-9B7E-FE7EB9BB5CAB}"/>
                </c:ext>
              </c:extLst>
            </c:dLbl>
            <c:dLbl>
              <c:idx val="10"/>
              <c:layout>
                <c:manualLayout>
                  <c:x val="-3.8624722880514066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74-4B1E-8E3C-07D2E465B0E6}"/>
                </c:ext>
              </c:extLst>
            </c:dLbl>
            <c:dLbl>
              <c:idx val="13"/>
              <c:layout>
                <c:manualLayout>
                  <c:x val="-1.9954073141902817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C3-4122-9635-F0203FE4FDF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25.2</c:v>
                </c:pt>
                <c:pt idx="1">
                  <c:v>16.600000000000001</c:v>
                </c:pt>
                <c:pt idx="2">
                  <c:v>10.6</c:v>
                </c:pt>
                <c:pt idx="3">
                  <c:v>5.8</c:v>
                </c:pt>
                <c:pt idx="4">
                  <c:v>7.1</c:v>
                </c:pt>
                <c:pt idx="5">
                  <c:v>3.8</c:v>
                </c:pt>
                <c:pt idx="6">
                  <c:v>7.2</c:v>
                </c:pt>
                <c:pt idx="7">
                  <c:v>6.5</c:v>
                </c:pt>
                <c:pt idx="8">
                  <c:v>5.3</c:v>
                </c:pt>
                <c:pt idx="9">
                  <c:v>2.5</c:v>
                </c:pt>
                <c:pt idx="10">
                  <c:v>2</c:v>
                </c:pt>
                <c:pt idx="11" formatCode="0.0">
                  <c:v>1.9</c:v>
                </c:pt>
                <c:pt idx="12">
                  <c:v>1.3</c:v>
                </c:pt>
                <c:pt idx="13">
                  <c:v>4.2000000000000028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A74-4B1E-8E3C-07D2E465B0E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общего объема инвестиций в 2024 году,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609527617860399E-3"/>
                  <c:y val="1.4860603483754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74-4B1E-8E3C-07D2E465B0E6}"/>
                </c:ext>
              </c:extLst>
            </c:dLbl>
            <c:dLbl>
              <c:idx val="2"/>
              <c:layout>
                <c:manualLayout>
                  <c:x val="5.6011949215832536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A74-4B1E-8E3C-07D2E465B0E6}"/>
                </c:ext>
              </c:extLst>
            </c:dLbl>
            <c:dLbl>
              <c:idx val="5"/>
              <c:layout>
                <c:manualLayout>
                  <c:x val="3.7619629097164643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C3-4122-9635-F0203FE4FDF3}"/>
                </c:ext>
              </c:extLst>
            </c:dLbl>
            <c:dLbl>
              <c:idx val="10"/>
              <c:layout>
                <c:manualLayout>
                  <c:x val="1.9442467936466525E-3"/>
                  <c:y val="6.8317784264505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BE-40F4-BE19-C960880EBBB3}"/>
                </c:ext>
              </c:extLst>
            </c:dLbl>
            <c:dLbl>
              <c:idx val="13"/>
              <c:layout>
                <c:manualLayout>
                  <c:x val="1.8670649738610904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C3-4122-9635-F0203FE4FDF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22.7</c:v>
                </c:pt>
                <c:pt idx="1">
                  <c:v>12.1</c:v>
                </c:pt>
                <c:pt idx="2">
                  <c:v>11.4</c:v>
                </c:pt>
                <c:pt idx="3">
                  <c:v>7.6</c:v>
                </c:pt>
                <c:pt idx="4">
                  <c:v>7.4</c:v>
                </c:pt>
                <c:pt idx="5">
                  <c:v>6.7</c:v>
                </c:pt>
                <c:pt idx="6">
                  <c:v>6.2</c:v>
                </c:pt>
                <c:pt idx="7">
                  <c:v>6</c:v>
                </c:pt>
                <c:pt idx="8">
                  <c:v>4.0999999999999996</c:v>
                </c:pt>
                <c:pt idx="9">
                  <c:v>3.9</c:v>
                </c:pt>
                <c:pt idx="10">
                  <c:v>2.7</c:v>
                </c:pt>
                <c:pt idx="11" formatCode="0.0">
                  <c:v>2.4</c:v>
                </c:pt>
                <c:pt idx="12">
                  <c:v>2.2999999999999998</c:v>
                </c:pt>
                <c:pt idx="1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191311896"/>
        <c:axId val="191314520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94E8-46B7-8460-62FD3E9CB958}"/>
                </c:ext>
              </c:extLst>
            </c:dLbl>
            <c:dLbl>
              <c:idx val="4"/>
              <c:layout>
                <c:manualLayout>
                  <c:x val="-3.4787242800773874E-2"/>
                  <c:y val="3.0951190448374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9-49D7-912B-F4BB03D65C84}"/>
                </c:ext>
              </c:extLst>
            </c:dLbl>
            <c:dLbl>
              <c:idx val="5"/>
              <c:layout>
                <c:manualLayout>
                  <c:x val="-3.8013589880801869E-2"/>
                  <c:y val="5.5390702274975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C3-4122-9635-F0203FE4FDF3}"/>
                </c:ext>
              </c:extLst>
            </c:dLbl>
            <c:dLbl>
              <c:idx val="6"/>
              <c:layout>
                <c:manualLayout>
                  <c:x val="-2.6811200037635395E-2"/>
                  <c:y val="3.8864147916228574E-2"/>
                </c:manualLayout>
              </c:layout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94E8-46B7-8460-62FD3E9CB958}"/>
                </c:ext>
              </c:extLst>
            </c:dLbl>
            <c:dLbl>
              <c:idx val="8"/>
              <c:layout>
                <c:manualLayout>
                  <c:x val="-2.8678265011496486E-2"/>
                  <c:y val="4.6777105384082182E-2"/>
                </c:manualLayout>
              </c:layout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4E91-4D98-BAAF-A9DD157E8C12}"/>
                </c:ext>
              </c:extLst>
            </c:dLbl>
            <c:dLbl>
              <c:idx val="9"/>
              <c:layout>
                <c:manualLayout>
                  <c:x val="-3.1053112853051831E-2"/>
                  <c:y val="6.1512029097253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9-49D7-912B-F4BB03D65C84}"/>
                </c:ext>
              </c:extLst>
            </c:dLbl>
            <c:dLbl>
              <c:idx val="12"/>
              <c:layout>
                <c:manualLayout>
                  <c:x val="-4.0388437722357146E-2"/>
                  <c:y val="5.5390702274975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C3-4122-9635-F0203FE4FDF3}"/>
                </c:ext>
              </c:extLst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100</c:v>
                </c:pt>
                <c:pt idx="1">
                  <c:v>82.4</c:v>
                </c:pt>
                <c:pt idx="2">
                  <c:v>120.4</c:v>
                </c:pt>
                <c:pt idx="3">
                  <c:v>150</c:v>
                </c:pt>
                <c:pt idx="4">
                  <c:v>118</c:v>
                </c:pt>
                <c:pt idx="5">
                  <c:v>200</c:v>
                </c:pt>
                <c:pt idx="6">
                  <c:v>88.7</c:v>
                </c:pt>
                <c:pt idx="7">
                  <c:v>103.8</c:v>
                </c:pt>
                <c:pt idx="8">
                  <c:v>85.4</c:v>
                </c:pt>
                <c:pt idx="9">
                  <c:v>180</c:v>
                </c:pt>
                <c:pt idx="10">
                  <c:v>147.6</c:v>
                </c:pt>
                <c:pt idx="11" formatCode="0.00">
                  <c:v>145.30000000000001</c:v>
                </c:pt>
                <c:pt idx="12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37480"/>
        <c:axId val="191341088"/>
      </c:lineChart>
      <c:valAx>
        <c:axId val="191314520"/>
        <c:scaling>
          <c:orientation val="minMax"/>
          <c:max val="35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1896"/>
        <c:crosses val="max"/>
        <c:crossBetween val="between"/>
      </c:valAx>
      <c:catAx>
        <c:axId val="191311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4520"/>
        <c:crosses val="autoZero"/>
        <c:auto val="0"/>
        <c:lblAlgn val="ctr"/>
        <c:lblOffset val="100"/>
        <c:noMultiLvlLbl val="0"/>
      </c:catAx>
      <c:valAx>
        <c:axId val="191341088"/>
        <c:scaling>
          <c:orientation val="minMax"/>
          <c:max val="210"/>
          <c:min val="-3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37480"/>
        <c:crosses val="autoZero"/>
        <c:crossBetween val="between"/>
      </c:valAx>
      <c:catAx>
        <c:axId val="191337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3410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920807042510378E-3"/>
          <c:y val="0.88411650589712076"/>
          <c:w val="0.99014983563947701"/>
          <c:h val="0.11588349410287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393177421156936E-2"/>
          <c:y val="2.0584301576262197E-2"/>
          <c:w val="0.9393824278313232"/>
          <c:h val="0.72106141148662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объема инвестиций в обробатывающие производства в 2023 году, %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914158879171683E-3"/>
                  <c:y val="2.1486968236444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C8-498D-82D0-C947937F070E}"/>
                </c:ext>
              </c:extLst>
            </c:dLbl>
            <c:dLbl>
              <c:idx val="1"/>
              <c:layout>
                <c:manualLayout>
                  <c:x val="-3.4202122025081931E-3"/>
                  <c:y val="-1.794276950711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C8-498D-82D0-C947937F070E}"/>
                </c:ext>
              </c:extLst>
            </c:dLbl>
            <c:dLbl>
              <c:idx val="2"/>
              <c:layout>
                <c:manualLayout>
                  <c:x val="-3.4983535058770706E-17"/>
                  <c:y val="-7.54915443588585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A0-4F1B-9EDA-59DB89E58A69}"/>
                </c:ext>
              </c:extLst>
            </c:dLbl>
            <c:dLbl>
              <c:idx val="3"/>
              <c:layout>
                <c:manualLayout>
                  <c:x val="0"/>
                  <c:y val="-4.1177681696520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C8-498D-82D0-C947937F070E}"/>
                </c:ext>
              </c:extLst>
            </c:dLbl>
            <c:dLbl>
              <c:idx val="4"/>
              <c:layout>
                <c:manualLayout>
                  <c:x val="1.90821486499379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C8-498D-82D0-C947937F070E}"/>
                </c:ext>
              </c:extLst>
            </c:dLbl>
            <c:dLbl>
              <c:idx val="11"/>
              <c:layout>
                <c:manualLayout>
                  <c:x val="-4.8081004473684019E-6"/>
                  <c:y val="6.9227140307276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12.430255156416525</c:v>
                </c:pt>
                <c:pt idx="1">
                  <c:v>15.271769794997178</c:v>
                </c:pt>
                <c:pt idx="2">
                  <c:v>12.254717572565983</c:v>
                </c:pt>
                <c:pt idx="3">
                  <c:v>7.5543853049965524</c:v>
                </c:pt>
                <c:pt idx="4">
                  <c:v>3.7771926524982762</c:v>
                </c:pt>
                <c:pt idx="5">
                  <c:v>4.5185254842956555</c:v>
                </c:pt>
                <c:pt idx="6">
                  <c:v>3.7630869537959999</c:v>
                </c:pt>
                <c:pt idx="7">
                  <c:v>3.7897310513447433</c:v>
                </c:pt>
                <c:pt idx="8">
                  <c:v>2.9951100244498776</c:v>
                </c:pt>
                <c:pt idx="9">
                  <c:v>4.825716256034104</c:v>
                </c:pt>
                <c:pt idx="10">
                  <c:v>3.4543288822017431</c:v>
                </c:pt>
                <c:pt idx="11">
                  <c:v>25.365180866403364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9C8-498D-82D0-C947937F070E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объема инвестиций в обробатывающие производства в 2024 году,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5575435715321387E-3"/>
                  <c:y val="-8.5331828888899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C8-498D-82D0-C947937F070E}"/>
                </c:ext>
              </c:extLst>
            </c:dLbl>
            <c:dLbl>
              <c:idx val="1"/>
              <c:layout>
                <c:manualLayout>
                  <c:x val="1.70837819015604E-4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9C8-498D-82D0-C947937F070E}"/>
                </c:ext>
              </c:extLst>
            </c:dLbl>
            <c:dLbl>
              <c:idx val="4"/>
              <c:layout>
                <c:manualLayout>
                  <c:x val="-1.9082148649937983E-3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C8-498D-82D0-C947937F070E}"/>
                </c:ext>
              </c:extLst>
            </c:dLbl>
            <c:dLbl>
              <c:idx val="11"/>
              <c:layout>
                <c:manualLayout>
                  <c:x val="0"/>
                  <c:y val="4.1177681696518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0.0</c:formatCode>
                <c:ptCount val="12"/>
                <c:pt idx="0">
                  <c:v>15.759425493716336</c:v>
                </c:pt>
                <c:pt idx="1">
                  <c:v>15.043686415320167</c:v>
                </c:pt>
                <c:pt idx="2">
                  <c:v>10.837821663674447</c:v>
                </c:pt>
                <c:pt idx="3">
                  <c:v>10.760023937761819</c:v>
                </c:pt>
                <c:pt idx="4">
                  <c:v>6.8701376421304614</c:v>
                </c:pt>
                <c:pt idx="5">
                  <c:v>6.2357869539198081</c:v>
                </c:pt>
                <c:pt idx="6">
                  <c:v>5.524835427887492</c:v>
                </c:pt>
                <c:pt idx="7">
                  <c:v>5.5080789946140039</c:v>
                </c:pt>
                <c:pt idx="8">
                  <c:v>5.1932974266906049</c:v>
                </c:pt>
                <c:pt idx="9">
                  <c:v>3.3381208856971871</c:v>
                </c:pt>
                <c:pt idx="10">
                  <c:v>2.6654697785757029</c:v>
                </c:pt>
                <c:pt idx="11">
                  <c:v>12.26331538001196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191311896"/>
        <c:axId val="191314520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127380854895286E-2"/>
                  <c:y val="-4.7761895729679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9C8-498D-82D0-C947937F070E}"/>
                </c:ext>
              </c:extLst>
            </c:dLbl>
            <c:dLbl>
              <c:idx val="1"/>
              <c:layout>
                <c:manualLayout>
                  <c:x val="-3.3386247480442693E-2"/>
                  <c:y val="-4.7761895729679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1E-45FA-BDDD-0342137E579B}"/>
                </c:ext>
              </c:extLst>
            </c:dLbl>
            <c:dLbl>
              <c:idx val="2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6766-4B0F-B08F-FBCA16C96407}"/>
                </c:ext>
              </c:extLst>
            </c:dLbl>
            <c:dLbl>
              <c:idx val="5"/>
              <c:layout>
                <c:manualLayout>
                  <c:x val="-2.9569817750455078E-2"/>
                  <c:y val="-4.117768169652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7-4174-A97E-82F5C806DF53}"/>
                </c:ext>
              </c:extLst>
            </c:dLbl>
            <c:dLbl>
              <c:idx val="9"/>
              <c:layout>
                <c:manualLayout>
                  <c:x val="-2.5716125242001463E-2"/>
                  <c:y val="-4.7761895729679871E-2"/>
                </c:manualLayout>
              </c:layout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D1A0-4F1B-9EDA-59DB89E58A69}"/>
                </c:ext>
              </c:extLst>
            </c:dLbl>
            <c:dLbl>
              <c:idx val="10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6766-4B0F-B08F-FBCA16C96407}"/>
                </c:ext>
              </c:extLst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190</c:v>
                </c:pt>
                <c:pt idx="1">
                  <c:v>118.30000000000001</c:v>
                </c:pt>
                <c:pt idx="2">
                  <c:v>91.6</c:v>
                </c:pt>
                <c:pt idx="3">
                  <c:v>170</c:v>
                </c:pt>
                <c:pt idx="4" formatCode="0.0">
                  <c:v>160</c:v>
                </c:pt>
                <c:pt idx="5" formatCode="0.0">
                  <c:v>170</c:v>
                </c:pt>
                <c:pt idx="6">
                  <c:v>160</c:v>
                </c:pt>
                <c:pt idx="7" formatCode="0.0">
                  <c:v>200</c:v>
                </c:pt>
                <c:pt idx="8">
                  <c:v>200</c:v>
                </c:pt>
                <c:pt idx="9">
                  <c:v>88.4</c:v>
                </c:pt>
                <c:pt idx="10">
                  <c:v>82.4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37480"/>
        <c:axId val="191341088"/>
      </c:lineChart>
      <c:valAx>
        <c:axId val="191314520"/>
        <c:scaling>
          <c:orientation val="minMax"/>
          <c:max val="35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1896"/>
        <c:crosses val="max"/>
        <c:crossBetween val="between"/>
      </c:valAx>
      <c:catAx>
        <c:axId val="191311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4520"/>
        <c:crosses val="autoZero"/>
        <c:auto val="0"/>
        <c:lblAlgn val="ctr"/>
        <c:lblOffset val="100"/>
        <c:noMultiLvlLbl val="0"/>
      </c:catAx>
      <c:valAx>
        <c:axId val="191341088"/>
        <c:scaling>
          <c:orientation val="minMax"/>
          <c:min val="-1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37480"/>
        <c:crosses val="autoZero"/>
        <c:crossBetween val="between"/>
      </c:valAx>
      <c:catAx>
        <c:axId val="191337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3410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291069468694423"/>
          <c:w val="0.99888902829041226"/>
          <c:h val="0.14519315412935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457789840987843E-2"/>
          <c:y val="2.4933522653930548E-2"/>
          <c:w val="0.45240572295768866"/>
          <c:h val="0.91485339238017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собственные средства предприятий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63.5</c:v>
                </c:pt>
                <c:pt idx="1">
                  <c:v>63.5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B-40EA-941F-9F2C414C8FA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бюджетные средства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468-4247-9B62-7489BDB4D5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20.7</c:v>
                </c:pt>
                <c:pt idx="1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B-40EA-941F-9F2C414C8FA7}"/>
            </c:ext>
          </c:extLst>
        </c:ser>
        <c:ser>
          <c:idx val="3"/>
          <c:order val="2"/>
          <c:tx>
            <c:strRef>
              <c:f>Лист1!$A$4</c:f>
              <c:strCache>
                <c:ptCount val="1"/>
                <c:pt idx="0">
                  <c:v>кредиты банков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965084639649402E-5"/>
                  <c:y val="-1.9195825373899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CB-40EA-941F-9F2C414C8FA7}"/>
                </c:ext>
              </c:extLst>
            </c:dLbl>
            <c:dLbl>
              <c:idx val="1"/>
              <c:layout>
                <c:manualLayout>
                  <c:x val="-5.1018565339953052E-5"/>
                  <c:y val="1.90535085750106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9.8000000000000007</c:v>
                </c:pt>
                <c:pt idx="1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CB-40EA-941F-9F2C414C8FA7}"/>
            </c:ext>
          </c:extLst>
        </c:ser>
        <c:ser>
          <c:idx val="4"/>
          <c:order val="3"/>
          <c:tx>
            <c:strRef>
              <c:f>Лист1!$A$5</c:f>
              <c:strCache>
                <c:ptCount val="1"/>
                <c:pt idx="0">
                  <c:v>заемные средства других организаций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771844146162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B3-4054-83DA-DCD225D73397}"/>
                </c:ext>
              </c:extLst>
            </c:dLbl>
            <c:dLbl>
              <c:idx val="1"/>
              <c:layout>
                <c:manualLayout>
                  <c:x val="0"/>
                  <c:y val="-2.2368956717736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B3-4054-83DA-DCD225D733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2.9</c:v>
                </c:pt>
                <c:pt idx="1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CB-40EA-941F-9F2C414C8FA7}"/>
            </c:ext>
          </c:extLst>
        </c:ser>
        <c:ser>
          <c:idx val="5"/>
          <c:order val="4"/>
          <c:tx>
            <c:strRef>
              <c:f>Лист1!$A$6</c:f>
              <c:strCache>
                <c:ptCount val="1"/>
                <c:pt idx="0">
                  <c:v>средства внебюджетных фондов</c:v>
                </c:pt>
              </c:strCache>
            </c:strRef>
          </c:tx>
          <c:spPr>
            <a:solidFill>
              <a:srgbClr val="AFD7FF"/>
            </a:solidFill>
          </c:spPr>
          <c:invertIfNegative val="0"/>
          <c:dLbls>
            <c:dLbl>
              <c:idx val="0"/>
              <c:layout>
                <c:manualLayout>
                  <c:x val="0.10703363914373085"/>
                  <c:y val="8.6068056120979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CB-40EA-941F-9F2C414C8FA7}"/>
                </c:ext>
              </c:extLst>
            </c:dLbl>
            <c:dLbl>
              <c:idx val="1"/>
              <c:layout>
                <c:manualLayout>
                  <c:x val="0.10703363914373089"/>
                  <c:y val="1.291020841814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Лист1!$B$6:$C$6</c:f>
              <c:numCache>
                <c:formatCode>0.0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CB-40EA-941F-9F2C414C8FA7}"/>
            </c:ext>
          </c:extLst>
        </c:ser>
        <c:ser>
          <c:idx val="6"/>
          <c:order val="5"/>
          <c:tx>
            <c:strRef>
              <c:f>Лист1!$A$7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21259842519685E-5"/>
                  <c:y val="-3.226658458361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CB-40EA-941F-9F2C414C8FA7}"/>
                </c:ext>
              </c:extLst>
            </c:dLbl>
            <c:dLbl>
              <c:idx val="1"/>
              <c:layout>
                <c:manualLayout>
                  <c:x val="-6.7723759300729612E-6"/>
                  <c:y val="-5.52074748537895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 formatCode="0.0">
                  <c:v>3</c:v>
                </c:pt>
                <c:pt idx="1">
                  <c:v>4.6000000000000085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CCB-40EA-941F-9F2C414C8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4173952"/>
        <c:axId val="104175488"/>
      </c:barChart>
      <c:catAx>
        <c:axId val="104173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4175488"/>
        <c:crosses val="autoZero"/>
        <c:auto val="1"/>
        <c:lblAlgn val="ctr"/>
        <c:lblOffset val="100"/>
        <c:noMultiLvlLbl val="0"/>
      </c:catAx>
      <c:valAx>
        <c:axId val="10417548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10417395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62844036697247707"/>
          <c:y val="0.20697083734646665"/>
          <c:w val="0.33906727828746175"/>
          <c:h val="0.5841687809464913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020389109862002E-2"/>
          <c:y val="2.3291272344900107E-2"/>
          <c:w val="0.93930102196314158"/>
          <c:h val="0.61321692044015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51.9</c:v>
                </c:pt>
                <c:pt idx="1">
                  <c:v>28.4</c:v>
                </c:pt>
                <c:pt idx="2">
                  <c:v>9.8000000000000007</c:v>
                </c:pt>
                <c:pt idx="3">
                  <c:v>7.9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4-46F1-A3DF-D9CEF14F4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52.8</c:v>
                </c:pt>
                <c:pt idx="1">
                  <c:v>29.5</c:v>
                </c:pt>
                <c:pt idx="2">
                  <c:v>8.5</c:v>
                </c:pt>
                <c:pt idx="3">
                  <c:v>7.6</c:v>
                </c:pt>
                <c:pt idx="4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4-46F1-A3DF-D9CEF14F49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-5"/>
        <c:axId val="155449935"/>
        <c:axId val="155456175"/>
      </c:barChart>
      <c:catAx>
        <c:axId val="15544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456175"/>
        <c:crosses val="autoZero"/>
        <c:auto val="1"/>
        <c:lblAlgn val="ctr"/>
        <c:lblOffset val="100"/>
        <c:noMultiLvlLbl val="0"/>
      </c:catAx>
      <c:valAx>
        <c:axId val="155456175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44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563553453417536"/>
          <c:y val="0.91583223339857089"/>
          <c:w val="0.24480928369990007"/>
          <c:h val="8.4167766601429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ИАМ_ word">
  <a:themeElements>
    <a:clrScheme name="Другая 3">
      <a:dk1>
        <a:srgbClr val="292748"/>
      </a:dk1>
      <a:lt1>
        <a:srgbClr val="FEFFFF"/>
      </a:lt1>
      <a:dk2>
        <a:srgbClr val="16222C"/>
      </a:dk2>
      <a:lt2>
        <a:srgbClr val="FEFFFF"/>
      </a:lt2>
      <a:accent1>
        <a:srgbClr val="574DF7"/>
      </a:accent1>
      <a:accent2>
        <a:srgbClr val="22B7D8"/>
      </a:accent2>
      <a:accent3>
        <a:srgbClr val="C882E0"/>
      </a:accent3>
      <a:accent4>
        <a:srgbClr val="FC7875"/>
      </a:accent4>
      <a:accent5>
        <a:srgbClr val="5363BE"/>
      </a:accent5>
      <a:accent6>
        <a:srgbClr val="5C97FC"/>
      </a:accent6>
      <a:hlink>
        <a:srgbClr val="574DF7"/>
      </a:hlink>
      <a:folHlink>
        <a:srgbClr val="9A95CE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ИАМ_v1" id="{039DD1A6-BB4C-4224-8F7E-8C000E205543}" vid="{4BB0E12E-856A-4E32-859B-C70BE5B6CFF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A4DF-3870-457C-AD0B-FEED2A4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Максим Сергеевич</dc:creator>
  <cp:keywords/>
  <dc:description/>
  <cp:lastModifiedBy>Данкуца Александр Русланович</cp:lastModifiedBy>
  <cp:revision>2</cp:revision>
  <cp:lastPrinted>2024-03-28T14:33:00Z</cp:lastPrinted>
  <dcterms:created xsi:type="dcterms:W3CDTF">2024-12-26T14:48:00Z</dcterms:created>
  <dcterms:modified xsi:type="dcterms:W3CDTF">2024-12-26T14:48:00Z</dcterms:modified>
</cp:coreProperties>
</file>