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E4AB2" w14:textId="369E89B2" w:rsidR="008D4215" w:rsidRPr="008A143D" w:rsidRDefault="008D4215" w:rsidP="0071352E">
      <w:pPr>
        <w:spacing w:before="480"/>
        <w:rPr>
          <w:color w:val="292748" w:themeColor="text1"/>
          <w:sz w:val="72"/>
          <w:szCs w:val="72"/>
        </w:rPr>
      </w:pPr>
    </w:p>
    <w:p w14:paraId="49790C7B" w14:textId="77777777" w:rsidR="008D4215" w:rsidRPr="000F4DA4" w:rsidRDefault="008D4215" w:rsidP="0071352E">
      <w:pPr>
        <w:spacing w:before="480"/>
        <w:rPr>
          <w:color w:val="292748" w:themeColor="text1"/>
          <w:sz w:val="72"/>
          <w:szCs w:val="72"/>
        </w:rPr>
      </w:pPr>
    </w:p>
    <w:p w14:paraId="1EA0FCFF" w14:textId="77777777" w:rsidR="008D4215" w:rsidRDefault="008D4215" w:rsidP="0071352E">
      <w:pPr>
        <w:spacing w:before="480"/>
        <w:rPr>
          <w:color w:val="292748" w:themeColor="text1"/>
          <w:sz w:val="72"/>
          <w:szCs w:val="72"/>
        </w:rPr>
      </w:pPr>
    </w:p>
    <w:p w14:paraId="2C10D999" w14:textId="60BFC394" w:rsidR="0071352E" w:rsidRDefault="00B70F00" w:rsidP="0071352E">
      <w:pPr>
        <w:spacing w:before="480"/>
        <w:rPr>
          <w:color w:val="292748" w:themeColor="text1"/>
          <w:sz w:val="72"/>
          <w:szCs w:val="72"/>
        </w:rPr>
      </w:pPr>
      <w:r>
        <w:rPr>
          <w:color w:val="292748" w:themeColor="text1"/>
          <w:sz w:val="72"/>
          <w:szCs w:val="72"/>
        </w:rPr>
        <w:t xml:space="preserve">Инвестиционная деятельность в Санкт-Петербурге </w:t>
      </w:r>
      <w:r>
        <w:rPr>
          <w:color w:val="292748" w:themeColor="text1"/>
          <w:sz w:val="72"/>
          <w:szCs w:val="72"/>
        </w:rPr>
        <w:br/>
        <w:t>в 2023 год</w:t>
      </w:r>
      <w:r w:rsidR="00336534">
        <w:rPr>
          <w:color w:val="292748" w:themeColor="text1"/>
          <w:sz w:val="72"/>
          <w:szCs w:val="72"/>
        </w:rPr>
        <w:t>у</w:t>
      </w:r>
    </w:p>
    <w:p w14:paraId="681441EE" w14:textId="521B8CA3" w:rsidR="0071352E" w:rsidRDefault="00B70F00" w:rsidP="0071352E">
      <w:pPr>
        <w:rPr>
          <w:sz w:val="28"/>
          <w:szCs w:val="28"/>
        </w:rPr>
      </w:pPr>
      <w:r>
        <w:rPr>
          <w:color w:val="292748" w:themeColor="text1"/>
          <w:sz w:val="44"/>
          <w:szCs w:val="44"/>
        </w:rPr>
        <w:t>аналитическая справка</w:t>
      </w:r>
      <w:r w:rsidR="0071352E">
        <w:rPr>
          <w:sz w:val="28"/>
          <w:szCs w:val="28"/>
        </w:rPr>
        <w:tab/>
      </w:r>
    </w:p>
    <w:p w14:paraId="2305806B" w14:textId="251C5214" w:rsidR="00B70F00" w:rsidRDefault="00B70F00" w:rsidP="0071352E">
      <w:pPr>
        <w:rPr>
          <w:sz w:val="28"/>
          <w:szCs w:val="28"/>
        </w:rPr>
      </w:pPr>
    </w:p>
    <w:p w14:paraId="4A858E80" w14:textId="00B8980D" w:rsidR="00B70F00" w:rsidRDefault="00B70F00" w:rsidP="0071352E">
      <w:pPr>
        <w:rPr>
          <w:sz w:val="28"/>
          <w:szCs w:val="28"/>
        </w:rPr>
      </w:pPr>
    </w:p>
    <w:p w14:paraId="44ADCC24" w14:textId="5A7D5B5E" w:rsidR="00B70F00" w:rsidRDefault="00B70F00" w:rsidP="0071352E">
      <w:pPr>
        <w:rPr>
          <w:sz w:val="28"/>
          <w:szCs w:val="28"/>
        </w:rPr>
      </w:pPr>
    </w:p>
    <w:p w14:paraId="162705BC" w14:textId="7213B5F1" w:rsidR="00B70F00" w:rsidRDefault="00B70F00" w:rsidP="0071352E">
      <w:pPr>
        <w:rPr>
          <w:sz w:val="28"/>
          <w:szCs w:val="28"/>
        </w:rPr>
      </w:pPr>
    </w:p>
    <w:p w14:paraId="7937C4AD" w14:textId="6B8110DD" w:rsidR="00B70F00" w:rsidRDefault="00B70F00" w:rsidP="0071352E">
      <w:pPr>
        <w:rPr>
          <w:sz w:val="28"/>
          <w:szCs w:val="28"/>
        </w:rPr>
      </w:pPr>
    </w:p>
    <w:p w14:paraId="5170DD67" w14:textId="71EAA0A4" w:rsidR="00B70F00" w:rsidRDefault="00B70F00" w:rsidP="0071352E">
      <w:pPr>
        <w:rPr>
          <w:sz w:val="28"/>
          <w:szCs w:val="28"/>
        </w:rPr>
      </w:pPr>
    </w:p>
    <w:p w14:paraId="5121A6D1" w14:textId="130987DB" w:rsidR="00B70F00" w:rsidRDefault="00B70F00" w:rsidP="0071352E">
      <w:pPr>
        <w:rPr>
          <w:sz w:val="28"/>
          <w:szCs w:val="28"/>
        </w:rPr>
      </w:pPr>
    </w:p>
    <w:p w14:paraId="6FAD8D8F" w14:textId="701C9F35" w:rsidR="00B70F00" w:rsidRDefault="00B70F00" w:rsidP="0071352E">
      <w:pPr>
        <w:rPr>
          <w:sz w:val="28"/>
          <w:szCs w:val="28"/>
        </w:rPr>
      </w:pPr>
    </w:p>
    <w:p w14:paraId="1514A2A0" w14:textId="53AF9D08" w:rsidR="00B70F00" w:rsidRDefault="00B70F00" w:rsidP="0071352E">
      <w:pPr>
        <w:rPr>
          <w:sz w:val="28"/>
          <w:szCs w:val="28"/>
        </w:rPr>
      </w:pPr>
    </w:p>
    <w:p w14:paraId="13280BA2" w14:textId="02530386" w:rsidR="00B70F00" w:rsidRDefault="00B70F00" w:rsidP="0071352E">
      <w:pPr>
        <w:rPr>
          <w:sz w:val="28"/>
          <w:szCs w:val="28"/>
        </w:rPr>
      </w:pPr>
    </w:p>
    <w:p w14:paraId="45BACB99" w14:textId="2A2194F6" w:rsidR="00B70F00" w:rsidRDefault="00B70F00" w:rsidP="0071352E">
      <w:pPr>
        <w:rPr>
          <w:sz w:val="28"/>
          <w:szCs w:val="28"/>
        </w:rPr>
      </w:pPr>
    </w:p>
    <w:p w14:paraId="636C908D" w14:textId="77777777" w:rsidR="00143CBD" w:rsidRDefault="00143CBD" w:rsidP="0071352E">
      <w:pPr>
        <w:rPr>
          <w:sz w:val="28"/>
          <w:szCs w:val="28"/>
        </w:rPr>
      </w:pPr>
    </w:p>
    <w:p w14:paraId="655C6CD1" w14:textId="25C78AC2" w:rsidR="00B70F00" w:rsidRDefault="00B70F00" w:rsidP="0071352E">
      <w:pPr>
        <w:rPr>
          <w:sz w:val="28"/>
          <w:szCs w:val="28"/>
        </w:rPr>
      </w:pPr>
    </w:p>
    <w:p w14:paraId="7798CBDE" w14:textId="71656F01" w:rsidR="00B70F00" w:rsidRPr="00C732B0" w:rsidRDefault="00B70F00" w:rsidP="00904B9D">
      <w:pPr>
        <w:spacing w:after="0" w:line="276" w:lineRule="auto"/>
        <w:ind w:firstLine="567"/>
        <w:jc w:val="both"/>
        <w:rPr>
          <w:b/>
          <w:sz w:val="24"/>
          <w:szCs w:val="24"/>
        </w:rPr>
      </w:pPr>
      <w:r w:rsidRPr="00BF36A9">
        <w:rPr>
          <w:b/>
          <w:sz w:val="24"/>
          <w:szCs w:val="24"/>
        </w:rPr>
        <w:lastRenderedPageBreak/>
        <w:t>1</w:t>
      </w:r>
      <w:r w:rsidRPr="00C732B0">
        <w:rPr>
          <w:b/>
          <w:sz w:val="24"/>
          <w:szCs w:val="24"/>
        </w:rPr>
        <w:t>. Инвестиции в основной капитал организаций</w:t>
      </w:r>
    </w:p>
    <w:p w14:paraId="3BD1EF3F" w14:textId="77777777" w:rsidR="00B70F00" w:rsidRPr="00C732B0" w:rsidRDefault="00B70F00" w:rsidP="00D640ED">
      <w:pPr>
        <w:spacing w:after="0" w:line="240" w:lineRule="auto"/>
        <w:ind w:firstLine="709"/>
        <w:jc w:val="both"/>
        <w:rPr>
          <w:b/>
          <w:sz w:val="10"/>
          <w:szCs w:val="10"/>
        </w:rPr>
      </w:pPr>
    </w:p>
    <w:p w14:paraId="7FD4176E" w14:textId="730CF4D0" w:rsidR="00B70F00" w:rsidRPr="003206E6" w:rsidRDefault="00B70F00" w:rsidP="00E24791">
      <w:pPr>
        <w:spacing w:after="0" w:line="240" w:lineRule="auto"/>
        <w:ind w:firstLine="567"/>
        <w:jc w:val="both"/>
        <w:rPr>
          <w:sz w:val="24"/>
          <w:szCs w:val="24"/>
        </w:rPr>
      </w:pPr>
      <w:r w:rsidRPr="00C732B0">
        <w:rPr>
          <w:sz w:val="24"/>
          <w:szCs w:val="24"/>
        </w:rPr>
        <w:t>В 202</w:t>
      </w:r>
      <w:r w:rsidR="009D17E8">
        <w:rPr>
          <w:sz w:val="24"/>
          <w:szCs w:val="24"/>
        </w:rPr>
        <w:t>3</w:t>
      </w:r>
      <w:r w:rsidRPr="00C732B0">
        <w:rPr>
          <w:sz w:val="24"/>
          <w:szCs w:val="24"/>
        </w:rPr>
        <w:t xml:space="preserve"> год</w:t>
      </w:r>
      <w:r w:rsidR="0000221F">
        <w:rPr>
          <w:sz w:val="24"/>
          <w:szCs w:val="24"/>
        </w:rPr>
        <w:t>у</w:t>
      </w:r>
      <w:r w:rsidRPr="00C732B0">
        <w:rPr>
          <w:sz w:val="24"/>
          <w:szCs w:val="24"/>
        </w:rPr>
        <w:t xml:space="preserve"> по полному кругу предприятий, ос</w:t>
      </w:r>
      <w:r w:rsidRPr="003206E6">
        <w:rPr>
          <w:sz w:val="24"/>
          <w:szCs w:val="24"/>
        </w:rPr>
        <w:t xml:space="preserve">уществляющих инвестиционную деятельность на территории Санкт-Петербурга, в экономику города </w:t>
      </w:r>
      <w:r w:rsidR="003D0366">
        <w:rPr>
          <w:sz w:val="24"/>
          <w:szCs w:val="24"/>
        </w:rPr>
        <w:t>вложено</w:t>
      </w:r>
      <w:r w:rsidRPr="003206E6">
        <w:rPr>
          <w:sz w:val="24"/>
          <w:szCs w:val="24"/>
        </w:rPr>
        <w:t xml:space="preserve"> </w:t>
      </w:r>
      <w:r w:rsidR="0000221F">
        <w:rPr>
          <w:sz w:val="24"/>
          <w:szCs w:val="24"/>
        </w:rPr>
        <w:t>1 195,6</w:t>
      </w:r>
      <w:r w:rsidR="00D35650">
        <w:rPr>
          <w:sz w:val="24"/>
          <w:szCs w:val="24"/>
        </w:rPr>
        <w:t> </w:t>
      </w:r>
      <w:r w:rsidRPr="003206E6">
        <w:rPr>
          <w:sz w:val="24"/>
          <w:szCs w:val="24"/>
        </w:rPr>
        <w:t xml:space="preserve">млрд руб. инвестиций </w:t>
      </w:r>
      <w:r w:rsidR="0000221F">
        <w:rPr>
          <w:sz w:val="24"/>
          <w:szCs w:val="24"/>
        </w:rPr>
        <w:br/>
      </w:r>
      <w:r w:rsidRPr="003206E6">
        <w:rPr>
          <w:sz w:val="24"/>
          <w:szCs w:val="24"/>
        </w:rPr>
        <w:t>в основной капитал за счет всех источников финансирования (рис. 1). Индекс физического объема (далее – ИФО), от</w:t>
      </w:r>
      <w:r w:rsidR="00F11A15">
        <w:rPr>
          <w:sz w:val="24"/>
          <w:szCs w:val="24"/>
        </w:rPr>
        <w:t xml:space="preserve">ражающий изменение инвестиций к </w:t>
      </w:r>
      <w:r w:rsidR="00B75F45">
        <w:rPr>
          <w:sz w:val="24"/>
          <w:szCs w:val="24"/>
        </w:rPr>
        <w:t>предыдущему</w:t>
      </w:r>
      <w:r w:rsidRPr="003206E6">
        <w:rPr>
          <w:sz w:val="24"/>
          <w:szCs w:val="24"/>
        </w:rPr>
        <w:t xml:space="preserve"> год</w:t>
      </w:r>
      <w:r w:rsidR="00B75F45">
        <w:rPr>
          <w:sz w:val="24"/>
          <w:szCs w:val="24"/>
        </w:rPr>
        <w:t xml:space="preserve">у </w:t>
      </w:r>
      <w:r w:rsidRPr="003206E6">
        <w:rPr>
          <w:sz w:val="24"/>
          <w:szCs w:val="24"/>
        </w:rPr>
        <w:t xml:space="preserve">в постоянных ценах, составил </w:t>
      </w:r>
      <w:r w:rsidR="006D5140">
        <w:rPr>
          <w:sz w:val="24"/>
          <w:szCs w:val="24"/>
        </w:rPr>
        <w:t>1</w:t>
      </w:r>
      <w:r w:rsidR="0000221F">
        <w:rPr>
          <w:sz w:val="24"/>
          <w:szCs w:val="24"/>
        </w:rPr>
        <w:t>03,4</w:t>
      </w:r>
      <w:r w:rsidRPr="003206E6">
        <w:rPr>
          <w:sz w:val="24"/>
          <w:szCs w:val="24"/>
        </w:rPr>
        <w:t>%.</w:t>
      </w:r>
    </w:p>
    <w:p w14:paraId="6DFD773F" w14:textId="49ED5174" w:rsidR="00B70F00" w:rsidRDefault="00B70F00" w:rsidP="00E24791">
      <w:pPr>
        <w:spacing w:after="0" w:line="240" w:lineRule="auto"/>
        <w:ind w:firstLine="567"/>
        <w:jc w:val="both"/>
        <w:rPr>
          <w:sz w:val="24"/>
          <w:szCs w:val="24"/>
        </w:rPr>
      </w:pPr>
      <w:r w:rsidRPr="003206E6">
        <w:rPr>
          <w:sz w:val="24"/>
          <w:szCs w:val="24"/>
        </w:rPr>
        <w:t xml:space="preserve">Объем инвестиций в основной капитал </w:t>
      </w:r>
      <w:r w:rsidRPr="003206E6">
        <w:rPr>
          <w:i/>
          <w:sz w:val="24"/>
          <w:szCs w:val="24"/>
        </w:rPr>
        <w:t>крупных и средних предприятий</w:t>
      </w:r>
      <w:r w:rsidR="003D401B" w:rsidRPr="003206E6">
        <w:rPr>
          <w:sz w:val="24"/>
          <w:szCs w:val="24"/>
        </w:rPr>
        <w:t xml:space="preserve"> в отчетном периоде </w:t>
      </w:r>
      <w:r w:rsidR="00031D2D">
        <w:rPr>
          <w:sz w:val="24"/>
          <w:szCs w:val="24"/>
        </w:rPr>
        <w:t>был на уровне</w:t>
      </w:r>
      <w:r w:rsidRPr="003206E6">
        <w:rPr>
          <w:sz w:val="24"/>
          <w:szCs w:val="24"/>
        </w:rPr>
        <w:t xml:space="preserve"> </w:t>
      </w:r>
      <w:r w:rsidR="00DA3189" w:rsidRPr="00DA3189">
        <w:rPr>
          <w:sz w:val="24"/>
          <w:szCs w:val="24"/>
        </w:rPr>
        <w:t>918</w:t>
      </w:r>
      <w:r w:rsidR="00DA3189">
        <w:rPr>
          <w:sz w:val="24"/>
          <w:szCs w:val="24"/>
        </w:rPr>
        <w:t>,</w:t>
      </w:r>
      <w:r w:rsidR="00DA3189" w:rsidRPr="00DA3189">
        <w:rPr>
          <w:sz w:val="24"/>
          <w:szCs w:val="24"/>
        </w:rPr>
        <w:t>9</w:t>
      </w:r>
      <w:r w:rsidRPr="003206E6">
        <w:rPr>
          <w:sz w:val="24"/>
          <w:szCs w:val="24"/>
        </w:rPr>
        <w:t xml:space="preserve"> млрд руб. и составил </w:t>
      </w:r>
      <w:r w:rsidR="006A29A6">
        <w:rPr>
          <w:sz w:val="24"/>
          <w:szCs w:val="24"/>
        </w:rPr>
        <w:t>76,9</w:t>
      </w:r>
      <w:r w:rsidRPr="003206E6">
        <w:rPr>
          <w:sz w:val="24"/>
          <w:szCs w:val="24"/>
        </w:rPr>
        <w:t>% от суммы инвестиций по всем источникам (доля крупных и</w:t>
      </w:r>
      <w:r w:rsidR="003D401B" w:rsidRPr="003206E6">
        <w:rPr>
          <w:sz w:val="24"/>
          <w:szCs w:val="24"/>
        </w:rPr>
        <w:t> </w:t>
      </w:r>
      <w:r w:rsidRPr="003206E6">
        <w:rPr>
          <w:sz w:val="24"/>
          <w:szCs w:val="24"/>
        </w:rPr>
        <w:t xml:space="preserve">средних предприятий в общем объеме инвестиций в основной капитал традиционно составляет около 60–75%). ИФО по этому показателю составил </w:t>
      </w:r>
      <w:r w:rsidR="003D401B" w:rsidRPr="003206E6">
        <w:rPr>
          <w:sz w:val="24"/>
          <w:szCs w:val="24"/>
        </w:rPr>
        <w:t>1</w:t>
      </w:r>
      <w:r w:rsidR="006A29A6">
        <w:rPr>
          <w:sz w:val="24"/>
          <w:szCs w:val="24"/>
        </w:rPr>
        <w:t>06</w:t>
      </w:r>
      <w:r w:rsidRPr="003206E6">
        <w:rPr>
          <w:sz w:val="24"/>
          <w:szCs w:val="24"/>
        </w:rPr>
        <w:t>,</w:t>
      </w:r>
      <w:r w:rsidR="00715431">
        <w:rPr>
          <w:sz w:val="24"/>
          <w:szCs w:val="24"/>
        </w:rPr>
        <w:t>6</w:t>
      </w:r>
      <w:r w:rsidRPr="003206E6">
        <w:rPr>
          <w:sz w:val="24"/>
          <w:szCs w:val="24"/>
        </w:rPr>
        <w:t>%.</w:t>
      </w:r>
    </w:p>
    <w:p w14:paraId="16FE2FEB" w14:textId="6C80CEFA" w:rsidR="00D640ED" w:rsidRPr="00D640ED" w:rsidRDefault="00D640ED" w:rsidP="00E24791">
      <w:pPr>
        <w:spacing w:before="240" w:after="0" w:line="240" w:lineRule="auto"/>
        <w:jc w:val="center"/>
        <w:rPr>
          <w:szCs w:val="24"/>
        </w:rPr>
      </w:pPr>
      <w:r w:rsidRPr="00D640ED">
        <w:rPr>
          <w:b/>
          <w:bCs/>
          <w:szCs w:val="24"/>
        </w:rPr>
        <w:t>Рис. 1. Динамика инвестиций в основной капитал по полному кругу предприятий в текущих ценах</w:t>
      </w:r>
    </w:p>
    <w:p w14:paraId="4066C9EF" w14:textId="5595DCC7" w:rsidR="003D401B" w:rsidRDefault="003D401B" w:rsidP="00E24791">
      <w:pPr>
        <w:spacing w:before="240" w:after="0" w:line="240" w:lineRule="auto"/>
        <w:jc w:val="center"/>
        <w:rPr>
          <w:strike/>
          <w:sz w:val="24"/>
          <w:szCs w:val="24"/>
        </w:rPr>
      </w:pPr>
      <w:bookmarkStart w:id="0" w:name="_GoBack"/>
      <w:r w:rsidRPr="00D42653">
        <w:rPr>
          <w:noProof/>
          <w:color w:val="006600"/>
          <w:sz w:val="24"/>
          <w:szCs w:val="24"/>
          <w:shd w:val="clear" w:color="auto" w:fill="B4C8D9" w:themeFill="text2" w:themeFillTint="40"/>
          <w:lang w:eastAsia="ru-RU"/>
        </w:rPr>
        <w:drawing>
          <wp:inline distT="0" distB="0" distL="0" distR="0" wp14:anchorId="71439E0C" wp14:editId="62836187">
            <wp:extent cx="6445250" cy="28384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14:paraId="2FD48EF1" w14:textId="21742DF2" w:rsidR="00B70F00" w:rsidRPr="00C732B0" w:rsidRDefault="00B70F00" w:rsidP="00E24791">
      <w:pPr>
        <w:spacing w:line="240" w:lineRule="auto"/>
        <w:jc w:val="center"/>
        <w:rPr>
          <w:i/>
          <w:sz w:val="20"/>
          <w:szCs w:val="20"/>
        </w:rPr>
      </w:pPr>
      <w:r w:rsidRPr="00C732B0">
        <w:rPr>
          <w:i/>
          <w:sz w:val="20"/>
          <w:szCs w:val="20"/>
        </w:rPr>
        <w:t xml:space="preserve">Источник: </w:t>
      </w:r>
      <w:proofErr w:type="spellStart"/>
      <w:r w:rsidRPr="00C732B0">
        <w:rPr>
          <w:i/>
          <w:sz w:val="20"/>
          <w:szCs w:val="20"/>
        </w:rPr>
        <w:t>Петростат</w:t>
      </w:r>
      <w:proofErr w:type="spellEnd"/>
    </w:p>
    <w:p w14:paraId="68C36C57" w14:textId="5748578A" w:rsidR="00B70F00" w:rsidRPr="00B50BE7" w:rsidRDefault="00B70F00" w:rsidP="00E24791">
      <w:pPr>
        <w:spacing w:line="240" w:lineRule="auto"/>
        <w:ind w:firstLine="567"/>
        <w:jc w:val="both"/>
        <w:rPr>
          <w:b/>
          <w:sz w:val="24"/>
        </w:rPr>
      </w:pPr>
      <w:r w:rsidRPr="00C732B0">
        <w:rPr>
          <w:b/>
          <w:sz w:val="24"/>
        </w:rPr>
        <w:t>2. Инвестиции в основной капитал крупных и средних организаций (без субъектов малого предпринимательства) по видам экономической деятельности</w:t>
      </w:r>
    </w:p>
    <w:p w14:paraId="2C202E6F" w14:textId="7AD432CB" w:rsidR="00B70F00" w:rsidRPr="00F771A8" w:rsidRDefault="00B70F00" w:rsidP="00E24791">
      <w:pPr>
        <w:spacing w:after="0" w:line="240" w:lineRule="auto"/>
        <w:ind w:firstLine="567"/>
        <w:jc w:val="both"/>
        <w:rPr>
          <w:sz w:val="24"/>
        </w:rPr>
      </w:pPr>
      <w:r w:rsidRPr="00C732B0">
        <w:rPr>
          <w:sz w:val="24"/>
        </w:rPr>
        <w:t xml:space="preserve">По итогам </w:t>
      </w:r>
      <w:r w:rsidR="009D17E8" w:rsidRPr="00F771A8">
        <w:rPr>
          <w:sz w:val="24"/>
          <w:szCs w:val="24"/>
        </w:rPr>
        <w:t xml:space="preserve">2023 </w:t>
      </w:r>
      <w:r w:rsidRPr="00F771A8">
        <w:rPr>
          <w:sz w:val="24"/>
        </w:rPr>
        <w:t>года структура инвестиций в основной капитал организаций (без субъектов малого предпринимательства) по видам экономической деятельности</w:t>
      </w:r>
      <w:r w:rsidR="00EF3394" w:rsidRPr="00F771A8">
        <w:rPr>
          <w:sz w:val="24"/>
        </w:rPr>
        <w:t xml:space="preserve"> </w:t>
      </w:r>
      <w:r w:rsidRPr="00F771A8">
        <w:rPr>
          <w:sz w:val="24"/>
        </w:rPr>
        <w:t xml:space="preserve">не претерпела значительных изменений по сравнению с </w:t>
      </w:r>
      <w:r w:rsidR="00B75F45" w:rsidRPr="00F771A8">
        <w:rPr>
          <w:sz w:val="24"/>
        </w:rPr>
        <w:t>предыдущими годами (рис. 2)</w:t>
      </w:r>
      <w:r w:rsidRPr="00F771A8">
        <w:rPr>
          <w:sz w:val="24"/>
        </w:rPr>
        <w:t>. Традиционно лидирующими по объему инвестиций в</w:t>
      </w:r>
      <w:r w:rsidR="00C02ADF" w:rsidRPr="00F771A8">
        <w:rPr>
          <w:sz w:val="24"/>
        </w:rPr>
        <w:t> </w:t>
      </w:r>
      <w:r w:rsidRPr="00F771A8">
        <w:rPr>
          <w:sz w:val="24"/>
        </w:rPr>
        <w:t>основной капитал видами экономической деятельности (</w:t>
      </w:r>
      <w:r w:rsidR="00EF3394" w:rsidRPr="00F771A8">
        <w:rPr>
          <w:sz w:val="24"/>
        </w:rPr>
        <w:t>топ</w:t>
      </w:r>
      <w:r w:rsidR="00EF3394" w:rsidRPr="00F771A8">
        <w:rPr>
          <w:sz w:val="24"/>
        </w:rPr>
        <w:noBreakHyphen/>
        <w:t>3</w:t>
      </w:r>
      <w:r w:rsidRPr="00F771A8">
        <w:rPr>
          <w:sz w:val="24"/>
        </w:rPr>
        <w:t>) являются:</w:t>
      </w:r>
    </w:p>
    <w:p w14:paraId="69A21038" w14:textId="0BD56A64" w:rsidR="00B70F00" w:rsidRPr="00F771A8" w:rsidRDefault="00B70F00" w:rsidP="00E2479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sz w:val="24"/>
        </w:rPr>
      </w:pPr>
      <w:r w:rsidRPr="00F771A8">
        <w:rPr>
          <w:i/>
          <w:sz w:val="24"/>
        </w:rPr>
        <w:t>Транспортировка и хранение</w:t>
      </w:r>
      <w:r w:rsidRPr="00F771A8">
        <w:rPr>
          <w:sz w:val="24"/>
        </w:rPr>
        <w:t xml:space="preserve"> (</w:t>
      </w:r>
      <w:r w:rsidR="00EF3394" w:rsidRPr="00F771A8">
        <w:rPr>
          <w:sz w:val="24"/>
        </w:rPr>
        <w:t>2</w:t>
      </w:r>
      <w:r w:rsidR="00022450" w:rsidRPr="00F771A8">
        <w:rPr>
          <w:sz w:val="24"/>
        </w:rPr>
        <w:t>2,2</w:t>
      </w:r>
      <w:r w:rsidRPr="00F771A8">
        <w:rPr>
          <w:sz w:val="24"/>
        </w:rPr>
        <w:t>% от общего объема инвестиций без учета субъектов малого предпринимательства в 202</w:t>
      </w:r>
      <w:r w:rsidR="009D17E8" w:rsidRPr="00F771A8">
        <w:rPr>
          <w:sz w:val="24"/>
        </w:rPr>
        <w:t>3</w:t>
      </w:r>
      <w:r w:rsidRPr="00F771A8">
        <w:rPr>
          <w:sz w:val="24"/>
        </w:rPr>
        <w:t xml:space="preserve"> год</w:t>
      </w:r>
      <w:r w:rsidR="00022450" w:rsidRPr="00F771A8">
        <w:rPr>
          <w:sz w:val="24"/>
        </w:rPr>
        <w:t>у</w:t>
      </w:r>
      <w:r w:rsidRPr="00F771A8">
        <w:rPr>
          <w:sz w:val="24"/>
        </w:rPr>
        <w:t xml:space="preserve"> против </w:t>
      </w:r>
      <w:r w:rsidR="00022450" w:rsidRPr="00F771A8">
        <w:rPr>
          <w:sz w:val="24"/>
        </w:rPr>
        <w:t>22,3</w:t>
      </w:r>
      <w:r w:rsidRPr="00F771A8">
        <w:rPr>
          <w:sz w:val="24"/>
        </w:rPr>
        <w:t>%</w:t>
      </w:r>
      <w:r w:rsidR="00C02ADF" w:rsidRPr="00F771A8">
        <w:rPr>
          <w:sz w:val="24"/>
        </w:rPr>
        <w:t xml:space="preserve"> в 2022</w:t>
      </w:r>
      <w:r w:rsidRPr="00F771A8">
        <w:rPr>
          <w:sz w:val="24"/>
        </w:rPr>
        <w:t> год</w:t>
      </w:r>
      <w:r w:rsidR="00022450" w:rsidRPr="00F771A8">
        <w:rPr>
          <w:sz w:val="24"/>
        </w:rPr>
        <w:t>у</w:t>
      </w:r>
      <w:r w:rsidRPr="00F771A8">
        <w:rPr>
          <w:sz w:val="24"/>
        </w:rPr>
        <w:t>)</w:t>
      </w:r>
      <w:r w:rsidR="00904B9D" w:rsidRPr="00F771A8">
        <w:rPr>
          <w:sz w:val="24"/>
        </w:rPr>
        <w:t>.</w:t>
      </w:r>
    </w:p>
    <w:p w14:paraId="29C27650" w14:textId="77777777" w:rsidR="00E24791" w:rsidRPr="00F771A8" w:rsidRDefault="00022450" w:rsidP="00345A5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sz w:val="24"/>
        </w:rPr>
      </w:pPr>
      <w:r w:rsidRPr="00F771A8">
        <w:rPr>
          <w:i/>
          <w:sz w:val="24"/>
        </w:rPr>
        <w:t>Обрабатывающие производства</w:t>
      </w:r>
      <w:r w:rsidRPr="00F771A8">
        <w:rPr>
          <w:sz w:val="24"/>
        </w:rPr>
        <w:t xml:space="preserve"> (11,1% от общего объема инвестиций без учета субъектов малого предпринимательства в 2023 год</w:t>
      </w:r>
      <w:r w:rsidR="0096239A" w:rsidRPr="00F771A8">
        <w:rPr>
          <w:sz w:val="24"/>
        </w:rPr>
        <w:t>у</w:t>
      </w:r>
      <w:r w:rsidRPr="00F771A8">
        <w:rPr>
          <w:sz w:val="24"/>
        </w:rPr>
        <w:t xml:space="preserve"> против </w:t>
      </w:r>
      <w:r w:rsidR="0096239A" w:rsidRPr="00F771A8">
        <w:rPr>
          <w:sz w:val="24"/>
        </w:rPr>
        <w:t>9,8</w:t>
      </w:r>
      <w:r w:rsidRPr="00F771A8">
        <w:rPr>
          <w:sz w:val="24"/>
        </w:rPr>
        <w:t>% в 2022 </w:t>
      </w:r>
      <w:r w:rsidR="0096239A" w:rsidRPr="00F771A8">
        <w:rPr>
          <w:sz w:val="24"/>
        </w:rPr>
        <w:t>году</w:t>
      </w:r>
      <w:r w:rsidRPr="00F771A8">
        <w:rPr>
          <w:sz w:val="24"/>
        </w:rPr>
        <w:t>).</w:t>
      </w:r>
    </w:p>
    <w:p w14:paraId="67C8EC96" w14:textId="73187AE4" w:rsidR="00E24791" w:rsidRPr="00F771A8" w:rsidRDefault="00B70F00" w:rsidP="00345A54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sz w:val="24"/>
        </w:rPr>
      </w:pPr>
      <w:r w:rsidRPr="00F771A8">
        <w:rPr>
          <w:i/>
          <w:sz w:val="24"/>
        </w:rPr>
        <w:t>Деятельность по операциям с недвижимым имуществом</w:t>
      </w:r>
      <w:r w:rsidR="00482C76" w:rsidRPr="00F771A8">
        <w:rPr>
          <w:sz w:val="24"/>
        </w:rPr>
        <w:t> </w:t>
      </w:r>
      <w:r w:rsidRPr="00F771A8">
        <w:rPr>
          <w:sz w:val="24"/>
        </w:rPr>
        <w:t>(</w:t>
      </w:r>
      <w:r w:rsidR="0096239A" w:rsidRPr="00F771A8">
        <w:rPr>
          <w:sz w:val="24"/>
        </w:rPr>
        <w:t>9,9</w:t>
      </w:r>
      <w:r w:rsidRPr="00F771A8">
        <w:rPr>
          <w:sz w:val="24"/>
        </w:rPr>
        <w:t xml:space="preserve">% от общего объема инвестиций без учета субъектов малого предпринимательства </w:t>
      </w:r>
      <w:r w:rsidR="00EF3394" w:rsidRPr="00F771A8">
        <w:rPr>
          <w:sz w:val="24"/>
        </w:rPr>
        <w:t>в 2023 год</w:t>
      </w:r>
      <w:r w:rsidR="0096239A" w:rsidRPr="00F771A8">
        <w:rPr>
          <w:sz w:val="24"/>
        </w:rPr>
        <w:t>у</w:t>
      </w:r>
      <w:r w:rsidRPr="00F771A8">
        <w:rPr>
          <w:sz w:val="24"/>
        </w:rPr>
        <w:t xml:space="preserve"> против </w:t>
      </w:r>
      <w:r w:rsidR="0096239A" w:rsidRPr="00F771A8">
        <w:rPr>
          <w:sz w:val="24"/>
        </w:rPr>
        <w:t>13,8</w:t>
      </w:r>
      <w:r w:rsidRPr="00F771A8">
        <w:rPr>
          <w:sz w:val="24"/>
        </w:rPr>
        <w:t>%</w:t>
      </w:r>
      <w:r w:rsidR="0096239A" w:rsidRPr="00F771A8">
        <w:rPr>
          <w:sz w:val="24"/>
        </w:rPr>
        <w:t xml:space="preserve"> </w:t>
      </w:r>
      <w:r w:rsidRPr="00F771A8">
        <w:rPr>
          <w:sz w:val="24"/>
        </w:rPr>
        <w:t>в 202</w:t>
      </w:r>
      <w:r w:rsidR="009D17E8" w:rsidRPr="00F771A8">
        <w:rPr>
          <w:sz w:val="24"/>
        </w:rPr>
        <w:t>2</w:t>
      </w:r>
      <w:r w:rsidRPr="00F771A8">
        <w:rPr>
          <w:sz w:val="24"/>
        </w:rPr>
        <w:t xml:space="preserve"> год</w:t>
      </w:r>
      <w:r w:rsidR="0096239A" w:rsidRPr="00F771A8">
        <w:rPr>
          <w:sz w:val="24"/>
        </w:rPr>
        <w:t>у</w:t>
      </w:r>
      <w:r w:rsidRPr="00F771A8">
        <w:rPr>
          <w:sz w:val="24"/>
        </w:rPr>
        <w:t>)</w:t>
      </w:r>
      <w:r w:rsidR="00904B9D" w:rsidRPr="00F771A8">
        <w:rPr>
          <w:sz w:val="24"/>
        </w:rPr>
        <w:t>.</w:t>
      </w:r>
    </w:p>
    <w:p w14:paraId="5729A335" w14:textId="54593C31" w:rsidR="00E24791" w:rsidRPr="00F771A8" w:rsidRDefault="00E24791" w:rsidP="00E24791">
      <w:pPr>
        <w:rPr>
          <w:sz w:val="24"/>
        </w:rPr>
      </w:pPr>
      <w:r w:rsidRPr="00F771A8">
        <w:rPr>
          <w:sz w:val="24"/>
        </w:rPr>
        <w:br w:type="page"/>
      </w:r>
    </w:p>
    <w:p w14:paraId="166AAD70" w14:textId="7FD2C388" w:rsidR="00E24791" w:rsidRPr="00E24791" w:rsidRDefault="00E24791" w:rsidP="00E24791">
      <w:pPr>
        <w:spacing w:before="240" w:after="0" w:line="240" w:lineRule="auto"/>
        <w:jc w:val="center"/>
        <w:rPr>
          <w:b/>
          <w:bCs/>
          <w:szCs w:val="24"/>
        </w:rPr>
      </w:pPr>
      <w:r w:rsidRPr="00E24791">
        <w:rPr>
          <w:b/>
          <w:bCs/>
          <w:szCs w:val="24"/>
        </w:rPr>
        <w:lastRenderedPageBreak/>
        <w:t xml:space="preserve">Рис. 2. Структура инвестиций в основной капитал по видам экономической деятельности </w:t>
      </w:r>
      <w:r w:rsidR="007B2F4B">
        <w:rPr>
          <w:b/>
          <w:bCs/>
          <w:szCs w:val="24"/>
        </w:rPr>
        <w:br/>
      </w:r>
      <w:r w:rsidRPr="00E24791">
        <w:rPr>
          <w:b/>
          <w:bCs/>
          <w:szCs w:val="24"/>
        </w:rPr>
        <w:t>(без субъекто</w:t>
      </w:r>
      <w:r w:rsidR="00F771A8">
        <w:rPr>
          <w:b/>
          <w:bCs/>
          <w:szCs w:val="24"/>
        </w:rPr>
        <w:t>в малого предпринимательства)</w:t>
      </w:r>
      <w:r>
        <w:rPr>
          <w:rStyle w:val="ab"/>
          <w:b/>
          <w:bCs/>
          <w:szCs w:val="24"/>
        </w:rPr>
        <w:footnoteReference w:id="1"/>
      </w:r>
    </w:p>
    <w:p w14:paraId="3EDE4BD0" w14:textId="06D656B4" w:rsidR="0096239A" w:rsidRPr="00E24791" w:rsidRDefault="00A62E40" w:rsidP="00E24791">
      <w:pPr>
        <w:tabs>
          <w:tab w:val="left" w:pos="993"/>
        </w:tabs>
        <w:spacing w:after="0" w:line="240" w:lineRule="auto"/>
        <w:jc w:val="both"/>
        <w:rPr>
          <w:sz w:val="24"/>
        </w:rPr>
      </w:pPr>
      <w:r w:rsidRPr="00F7463A">
        <w:rPr>
          <w:noProof/>
          <w:lang w:eastAsia="ru-RU"/>
        </w:rPr>
        <w:drawing>
          <wp:inline distT="0" distB="0" distL="0" distR="0" wp14:anchorId="4CE66186" wp14:editId="2C1BD871">
            <wp:extent cx="6802120" cy="29718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44291E1" w14:textId="62855670" w:rsidR="00312514" w:rsidRDefault="0096239A" w:rsidP="00E24791">
      <w:pPr>
        <w:spacing w:line="240" w:lineRule="auto"/>
        <w:jc w:val="both"/>
        <w:rPr>
          <w:sz w:val="24"/>
        </w:rPr>
      </w:pPr>
      <w:r w:rsidRPr="00412F4F">
        <w:rPr>
          <w:i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051F150" wp14:editId="52A34FBF">
                <wp:extent cx="6646460" cy="2209800"/>
                <wp:effectExtent l="0" t="0" r="0" b="0"/>
                <wp:docPr id="11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460" cy="2209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768740" w14:textId="77777777" w:rsidR="0096239A" w:rsidRPr="003D0366" w:rsidRDefault="0096239A" w:rsidP="0096239A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D0366"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Pr="003D0366">
                              <w:rPr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Pr="003D0366"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0366"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Транспортировка и хранение. </w:t>
                            </w:r>
                          </w:p>
                          <w:p w14:paraId="4B2F945E" w14:textId="77777777" w:rsidR="0096239A" w:rsidRPr="003D0366" w:rsidRDefault="0096239A" w:rsidP="0096239A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D0366"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Pr="003D0366">
                              <w:rPr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Pr="003D0366"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0366"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Обрабатывающие производства. </w:t>
                            </w:r>
                          </w:p>
                          <w:p w14:paraId="7B5BA61F" w14:textId="77777777" w:rsidR="0096239A" w:rsidRPr="003D0366" w:rsidRDefault="0096239A" w:rsidP="0096239A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D0366"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Pr="003D0366">
                              <w:rPr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Pr="00022450">
                              <w:t xml:space="preserve"> </w:t>
                            </w:r>
                            <w:r w:rsidRPr="00022450">
                              <w:rPr>
                                <w:kern w:val="24"/>
                                <w:sz w:val="22"/>
                                <w:szCs w:val="22"/>
                              </w:rPr>
                              <w:t>Деятельность по операциям с недвижимым имуществом</w:t>
                            </w:r>
                            <w:r w:rsidRPr="003D0366"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600FA83" w14:textId="77777777" w:rsidR="0096239A" w:rsidRPr="003D0366" w:rsidRDefault="0096239A" w:rsidP="0096239A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D0366"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  <w:r w:rsidRPr="003D0366">
                              <w:rPr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Pr="003D0366"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0366">
                              <w:rPr>
                                <w:kern w:val="24"/>
                                <w:sz w:val="22"/>
                                <w:szCs w:val="22"/>
                              </w:rPr>
                              <w:t>Обеспечение электрической энергией, газом и паром; кондиционирование воздуха.</w:t>
                            </w:r>
                          </w:p>
                          <w:p w14:paraId="6E9721D1" w14:textId="77777777" w:rsidR="0096239A" w:rsidRPr="003D0366" w:rsidRDefault="0096239A" w:rsidP="0096239A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D0366"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Pr="003D0366">
                              <w:rPr>
                                <w:kern w:val="24"/>
                                <w:sz w:val="22"/>
                                <w:szCs w:val="22"/>
                              </w:rPr>
                              <w:t>. Торговля оптовая и розничная; ремонт автотранспортных средств и мотоциклов.</w:t>
                            </w:r>
                          </w:p>
                          <w:p w14:paraId="36F951E7" w14:textId="77777777" w:rsidR="0096239A" w:rsidRPr="003D0366" w:rsidRDefault="0096239A" w:rsidP="0096239A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D0366"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 w:rsidRPr="003D0366">
                              <w:rPr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Pr="003D0366"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0366"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Деятельность в области информации и связи. </w:t>
                            </w:r>
                          </w:p>
                          <w:p w14:paraId="15C7D1E1" w14:textId="77777777" w:rsidR="0096239A" w:rsidRPr="003D0366" w:rsidRDefault="0096239A" w:rsidP="0096239A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D0366"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 w:rsidRPr="003D0366"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Pr="003D0366"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 Образование. </w:t>
                            </w:r>
                          </w:p>
                          <w:p w14:paraId="2DCB58BD" w14:textId="77777777" w:rsidR="0096239A" w:rsidRPr="003D0366" w:rsidRDefault="0096239A" w:rsidP="0096239A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D0366"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  <w:r w:rsidRPr="003D0366"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. </w:t>
                            </w:r>
                            <w:r w:rsidRPr="00022450">
                              <w:rPr>
                                <w:kern w:val="24"/>
                                <w:sz w:val="22"/>
                                <w:szCs w:val="22"/>
                              </w:rPr>
                              <w:t>Деятельность профессиональная, научная и техническая</w:t>
                            </w:r>
                            <w:r w:rsidRPr="003D0366"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D1826BF" w14:textId="77777777" w:rsidR="0096239A" w:rsidRPr="003D0366" w:rsidRDefault="0096239A" w:rsidP="0096239A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D0366"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9</w:t>
                            </w:r>
                            <w:r w:rsidRPr="003D0366">
                              <w:rPr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Pr="003D0366"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0366"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Строительство. </w:t>
                            </w:r>
                          </w:p>
                          <w:p w14:paraId="5293504B" w14:textId="77777777" w:rsidR="0096239A" w:rsidRPr="003D0366" w:rsidRDefault="0096239A" w:rsidP="0096239A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D0366"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10</w:t>
                            </w:r>
                            <w:r w:rsidRPr="003D0366"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. Деятельность в области здравоохранения и социальных услуг. </w:t>
                            </w:r>
                          </w:p>
                          <w:p w14:paraId="787C1E17" w14:textId="77777777" w:rsidR="0096239A" w:rsidRPr="003D0366" w:rsidRDefault="0096239A" w:rsidP="0096239A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D0366"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11</w:t>
                            </w:r>
                            <w:r w:rsidRPr="003D0366">
                              <w:rPr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Pr="003D0366"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0366"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Водоснабжение; водоотведение, организация сбора и утилизации отходов. </w:t>
                            </w:r>
                          </w:p>
                          <w:p w14:paraId="4C9B582F" w14:textId="77777777" w:rsidR="0096239A" w:rsidRPr="003D0366" w:rsidRDefault="0096239A" w:rsidP="0096239A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D0366"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12</w:t>
                            </w:r>
                            <w:r w:rsidRPr="003D0366">
                              <w:rPr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Pr="00022450">
                              <w:t xml:space="preserve"> </w:t>
                            </w:r>
                            <w:r w:rsidRPr="00022450">
                              <w:rPr>
                                <w:kern w:val="24"/>
                                <w:sz w:val="22"/>
                                <w:szCs w:val="22"/>
                              </w:rPr>
                              <w:t>Деятельность в области культуры, спорта, организации досуга и развлечений</w:t>
                            </w:r>
                            <w:r w:rsidRPr="003D0366"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E92D86A" w14:textId="77777777" w:rsidR="0096239A" w:rsidRPr="003D0366" w:rsidRDefault="0096239A" w:rsidP="0096239A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D0366"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13. </w:t>
                            </w:r>
                            <w:r w:rsidRPr="003D0366">
                              <w:rPr>
                                <w:bCs/>
                                <w:kern w:val="24"/>
                                <w:sz w:val="22"/>
                                <w:szCs w:val="22"/>
                              </w:rPr>
                              <w:t>Другие виды деятельности</w:t>
                            </w:r>
                            <w:r>
                              <w:rPr>
                                <w:bCs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1F150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width:523.35pt;height:1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1TlAEAAA8DAAAOAAAAZHJzL2Uyb0RvYy54bWysUttu2zAMfR/QfxD03tgJiiAz4hRbi/al&#10;2Aa0/QBFlmIBlqiSSuz8/SglTYvtbRgMyBIvh4eHXN9OfhAHg+QgtHI+q6UwQUPnwq6Vry8P1ysp&#10;KKnQqQGCaeXRkLzdXH1Zj7ExC+hh6AwKBgnUjLGVfUqxqSrSvfGKZhBNYKcF9CrxE3dVh2pkdD9U&#10;i7peViNgFxG0IWLr/ckpNwXfWqPTT2vJJDG0krmlcmI5t/msNmvV7FDF3ukzDfUPLLxygYteoO5V&#10;UmKP7i8o7zQCgU0zDb4Ca502pQfuZl7/0c1zr6IpvbA4FC8y0f+D1T8Ov1C4jmc3lyIozzN6MVP6&#10;DpNYZXXGSA0HPUcOSxObOfLdTmzMTU8Wff5zO4L9rPPxoi1jCc3G5fKGP3Zp9i0W9ddVXdSvPtIj&#10;Uno04EW+tBJ5eEVTdXiixFQ49D0kVwvw4IYh2zPHE5d8S9N2OhPfQndk3iPPt5X0tldopMA03EFZ&#10;hxPKt30C60qBnH7KOaOy6qXueUPyWD+/S9THHm9+AwAA//8DAFBLAwQUAAYACAAAACEApiWXDNsA&#10;AAAGAQAADwAAAGRycy9kb3ducmV2LnhtbEyPwU7DMBBE70j8g7VI3OgaCKWEOBUCcQVRaCVu23ib&#10;RMTrKHab8Pe4XOCy0mhGM2+L5eQ6deAhtF4MXM40KJbK21ZqAx/vzxcLUCGSWOq8sIFvDrAsT08K&#10;yq0f5Y0Pq1irVCIhJwNNjH2OGKqGHYWZ71mSt/ODo5jkUKMdaEzlrsMrrefoqJW00FDPjw1XX6u9&#10;M7B+2X1uMv1aP7mbfvSTRnF3aMz52fRwDyryFP/CcMRP6FAmpq3fiw2qM5Aeib/36Olsfgtqa+A6&#10;W2jAssD/+OUPAAAA//8DAFBLAQItABQABgAIAAAAIQC2gziS/gAAAOEBAAATAAAAAAAAAAAAAAAA&#10;AAAAAABbQ29udGVudF9UeXBlc10ueG1sUEsBAi0AFAAGAAgAAAAhADj9If/WAAAAlAEAAAsAAAAA&#10;AAAAAAAAAAAALwEAAF9yZWxzLy5yZWxzUEsBAi0AFAAGAAgAAAAhACF1TVOUAQAADwMAAA4AAAAA&#10;AAAAAAAAAAAALgIAAGRycy9lMm9Eb2MueG1sUEsBAi0AFAAGAAgAAAAhAKYllwzbAAAABgEAAA8A&#10;AAAAAAAAAAAAAAAA7gMAAGRycy9kb3ducmV2LnhtbFBLBQYAAAAABAAEAPMAAAD2BAAAAAA=&#10;" filled="f" stroked="f">
                <v:textbox>
                  <w:txbxContent>
                    <w:p w14:paraId="51768740" w14:textId="77777777" w:rsidR="0096239A" w:rsidRPr="003D0366" w:rsidRDefault="0096239A" w:rsidP="0096239A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 w:rsidRPr="003D0366"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  <w:t>1</w:t>
                      </w:r>
                      <w:r w:rsidRPr="003D0366">
                        <w:rPr>
                          <w:kern w:val="24"/>
                          <w:sz w:val="22"/>
                          <w:szCs w:val="22"/>
                        </w:rPr>
                        <w:t>.</w:t>
                      </w:r>
                      <w:r w:rsidRPr="003D0366"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3D0366">
                        <w:rPr>
                          <w:kern w:val="24"/>
                          <w:sz w:val="22"/>
                          <w:szCs w:val="22"/>
                        </w:rPr>
                        <w:t xml:space="preserve">Транспортировка и хранение. </w:t>
                      </w:r>
                    </w:p>
                    <w:p w14:paraId="4B2F945E" w14:textId="77777777" w:rsidR="0096239A" w:rsidRPr="003D0366" w:rsidRDefault="0096239A" w:rsidP="0096239A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 w:rsidRPr="003D0366"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  <w:t>2</w:t>
                      </w:r>
                      <w:r w:rsidRPr="003D0366">
                        <w:rPr>
                          <w:kern w:val="24"/>
                          <w:sz w:val="22"/>
                          <w:szCs w:val="22"/>
                        </w:rPr>
                        <w:t>.</w:t>
                      </w:r>
                      <w:r w:rsidRPr="003D0366"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3D0366">
                        <w:rPr>
                          <w:kern w:val="24"/>
                          <w:sz w:val="22"/>
                          <w:szCs w:val="22"/>
                        </w:rPr>
                        <w:t xml:space="preserve">Обрабатывающие производства. </w:t>
                      </w:r>
                    </w:p>
                    <w:p w14:paraId="7B5BA61F" w14:textId="77777777" w:rsidR="0096239A" w:rsidRPr="003D0366" w:rsidRDefault="0096239A" w:rsidP="0096239A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 w:rsidRPr="003D0366"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  <w:t>3</w:t>
                      </w:r>
                      <w:r w:rsidRPr="003D0366">
                        <w:rPr>
                          <w:kern w:val="24"/>
                          <w:sz w:val="22"/>
                          <w:szCs w:val="22"/>
                        </w:rPr>
                        <w:t>.</w:t>
                      </w:r>
                      <w:r w:rsidRPr="00022450">
                        <w:t xml:space="preserve"> </w:t>
                      </w:r>
                      <w:r w:rsidRPr="00022450">
                        <w:rPr>
                          <w:kern w:val="24"/>
                          <w:sz w:val="22"/>
                          <w:szCs w:val="22"/>
                        </w:rPr>
                        <w:t>Деятельность по операциям с недвижимым имуществом</w:t>
                      </w:r>
                      <w:r w:rsidRPr="003D0366">
                        <w:rPr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600FA83" w14:textId="77777777" w:rsidR="0096239A" w:rsidRPr="003D0366" w:rsidRDefault="0096239A" w:rsidP="0096239A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 w:rsidRPr="003D0366"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  <w:t>4</w:t>
                      </w:r>
                      <w:r w:rsidRPr="003D0366">
                        <w:rPr>
                          <w:kern w:val="24"/>
                          <w:sz w:val="22"/>
                          <w:szCs w:val="22"/>
                        </w:rPr>
                        <w:t>.</w:t>
                      </w:r>
                      <w:r w:rsidRPr="003D0366"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3D0366">
                        <w:rPr>
                          <w:kern w:val="24"/>
                          <w:sz w:val="22"/>
                          <w:szCs w:val="22"/>
                        </w:rPr>
                        <w:t>Обеспечение электрической энергией, газом и паром; кондиционирование воздуха.</w:t>
                      </w:r>
                    </w:p>
                    <w:p w14:paraId="6E9721D1" w14:textId="77777777" w:rsidR="0096239A" w:rsidRPr="003D0366" w:rsidRDefault="0096239A" w:rsidP="0096239A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 w:rsidRPr="003D0366"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  <w:t>5</w:t>
                      </w:r>
                      <w:r w:rsidRPr="003D0366">
                        <w:rPr>
                          <w:kern w:val="24"/>
                          <w:sz w:val="22"/>
                          <w:szCs w:val="22"/>
                        </w:rPr>
                        <w:t>. Торговля оптовая и розничная; ремонт автотранспортных средств и мотоциклов.</w:t>
                      </w:r>
                    </w:p>
                    <w:p w14:paraId="36F951E7" w14:textId="77777777" w:rsidR="0096239A" w:rsidRPr="003D0366" w:rsidRDefault="0096239A" w:rsidP="0096239A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 w:rsidRPr="003D0366"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  <w:t>6</w:t>
                      </w:r>
                      <w:r w:rsidRPr="003D0366">
                        <w:rPr>
                          <w:kern w:val="24"/>
                          <w:sz w:val="22"/>
                          <w:szCs w:val="22"/>
                        </w:rPr>
                        <w:t>.</w:t>
                      </w:r>
                      <w:r w:rsidRPr="003D0366"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3D0366">
                        <w:rPr>
                          <w:kern w:val="24"/>
                          <w:sz w:val="22"/>
                          <w:szCs w:val="22"/>
                        </w:rPr>
                        <w:t xml:space="preserve">Деятельность в области информации и связи. </w:t>
                      </w:r>
                    </w:p>
                    <w:p w14:paraId="15C7D1E1" w14:textId="77777777" w:rsidR="0096239A" w:rsidRPr="003D0366" w:rsidRDefault="0096239A" w:rsidP="0096239A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 w:rsidRPr="003D0366"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  <w:t>7</w:t>
                      </w:r>
                      <w:r w:rsidRPr="003D0366">
                        <w:rPr>
                          <w:b/>
                          <w:kern w:val="24"/>
                          <w:sz w:val="22"/>
                          <w:szCs w:val="22"/>
                        </w:rPr>
                        <w:t>.</w:t>
                      </w:r>
                      <w:r w:rsidRPr="003D0366">
                        <w:rPr>
                          <w:kern w:val="24"/>
                          <w:sz w:val="22"/>
                          <w:szCs w:val="22"/>
                        </w:rPr>
                        <w:t xml:space="preserve"> Образование. </w:t>
                      </w:r>
                    </w:p>
                    <w:p w14:paraId="2DCB58BD" w14:textId="77777777" w:rsidR="0096239A" w:rsidRPr="003D0366" w:rsidRDefault="0096239A" w:rsidP="0096239A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 w:rsidRPr="003D0366"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  <w:t>8</w:t>
                      </w:r>
                      <w:r w:rsidRPr="003D0366">
                        <w:rPr>
                          <w:b/>
                          <w:kern w:val="24"/>
                          <w:sz w:val="22"/>
                          <w:szCs w:val="22"/>
                        </w:rPr>
                        <w:t>. </w:t>
                      </w:r>
                      <w:r w:rsidRPr="00022450">
                        <w:rPr>
                          <w:kern w:val="24"/>
                          <w:sz w:val="22"/>
                          <w:szCs w:val="22"/>
                        </w:rPr>
                        <w:t>Деятельность профессиональная, научная и техническая</w:t>
                      </w:r>
                      <w:r w:rsidRPr="003D0366">
                        <w:rPr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D1826BF" w14:textId="77777777" w:rsidR="0096239A" w:rsidRPr="003D0366" w:rsidRDefault="0096239A" w:rsidP="0096239A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 w:rsidRPr="003D0366"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  <w:t>9</w:t>
                      </w:r>
                      <w:r w:rsidRPr="003D0366">
                        <w:rPr>
                          <w:kern w:val="24"/>
                          <w:sz w:val="22"/>
                          <w:szCs w:val="22"/>
                        </w:rPr>
                        <w:t>.</w:t>
                      </w:r>
                      <w:r w:rsidRPr="003D0366"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3D0366">
                        <w:rPr>
                          <w:kern w:val="24"/>
                          <w:sz w:val="22"/>
                          <w:szCs w:val="22"/>
                        </w:rPr>
                        <w:t xml:space="preserve">Строительство. </w:t>
                      </w:r>
                    </w:p>
                    <w:p w14:paraId="5293504B" w14:textId="77777777" w:rsidR="0096239A" w:rsidRPr="003D0366" w:rsidRDefault="0096239A" w:rsidP="0096239A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 w:rsidRPr="003D0366"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  <w:t>10</w:t>
                      </w:r>
                      <w:r w:rsidRPr="003D0366">
                        <w:rPr>
                          <w:kern w:val="24"/>
                          <w:sz w:val="22"/>
                          <w:szCs w:val="22"/>
                        </w:rPr>
                        <w:t xml:space="preserve">. Деятельность в области здравоохранения и социальных услуг. </w:t>
                      </w:r>
                    </w:p>
                    <w:p w14:paraId="787C1E17" w14:textId="77777777" w:rsidR="0096239A" w:rsidRPr="003D0366" w:rsidRDefault="0096239A" w:rsidP="0096239A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 w:rsidRPr="003D0366"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  <w:t>11</w:t>
                      </w:r>
                      <w:r w:rsidRPr="003D0366">
                        <w:rPr>
                          <w:kern w:val="24"/>
                          <w:sz w:val="22"/>
                          <w:szCs w:val="22"/>
                        </w:rPr>
                        <w:t>.</w:t>
                      </w:r>
                      <w:r w:rsidRPr="003D0366"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3D0366">
                        <w:rPr>
                          <w:kern w:val="24"/>
                          <w:sz w:val="22"/>
                          <w:szCs w:val="22"/>
                        </w:rPr>
                        <w:t xml:space="preserve">Водоснабжение; водоотведение, организация сбора и утилизации отходов. </w:t>
                      </w:r>
                    </w:p>
                    <w:p w14:paraId="4C9B582F" w14:textId="77777777" w:rsidR="0096239A" w:rsidRPr="003D0366" w:rsidRDefault="0096239A" w:rsidP="0096239A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 w:rsidRPr="003D0366"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  <w:t>12</w:t>
                      </w:r>
                      <w:r w:rsidRPr="003D0366">
                        <w:rPr>
                          <w:kern w:val="24"/>
                          <w:sz w:val="22"/>
                          <w:szCs w:val="22"/>
                        </w:rPr>
                        <w:t>.</w:t>
                      </w:r>
                      <w:r w:rsidRPr="00022450">
                        <w:t xml:space="preserve"> </w:t>
                      </w:r>
                      <w:r w:rsidRPr="00022450">
                        <w:rPr>
                          <w:kern w:val="24"/>
                          <w:sz w:val="22"/>
                          <w:szCs w:val="22"/>
                        </w:rPr>
                        <w:t>Деятельность в области культуры, спорта, организации досуга и развлечений</w:t>
                      </w:r>
                      <w:r w:rsidRPr="003D0366">
                        <w:rPr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E92D86A" w14:textId="77777777" w:rsidR="0096239A" w:rsidRPr="003D0366" w:rsidRDefault="0096239A" w:rsidP="0096239A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bCs/>
                          <w:kern w:val="24"/>
                          <w:sz w:val="22"/>
                          <w:szCs w:val="22"/>
                        </w:rPr>
                      </w:pPr>
                      <w:r w:rsidRPr="003D0366"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  <w:t xml:space="preserve">13. </w:t>
                      </w:r>
                      <w:r w:rsidRPr="003D0366">
                        <w:rPr>
                          <w:bCs/>
                          <w:kern w:val="24"/>
                          <w:sz w:val="22"/>
                          <w:szCs w:val="22"/>
                        </w:rPr>
                        <w:t>Другие виды деятельности</w:t>
                      </w:r>
                      <w:r>
                        <w:rPr>
                          <w:bCs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0A5A77" w14:textId="398D5640" w:rsidR="00B70F00" w:rsidRPr="00244E8D" w:rsidRDefault="00B70F00" w:rsidP="00E24791">
      <w:pPr>
        <w:spacing w:after="0" w:line="240" w:lineRule="auto"/>
        <w:jc w:val="center"/>
        <w:rPr>
          <w:i/>
          <w:sz w:val="20"/>
          <w:szCs w:val="20"/>
        </w:rPr>
      </w:pPr>
      <w:r w:rsidRPr="00C732B0">
        <w:rPr>
          <w:i/>
          <w:sz w:val="20"/>
          <w:szCs w:val="20"/>
        </w:rPr>
        <w:t>Источник:</w:t>
      </w:r>
      <w:r w:rsidR="00C26FFA">
        <w:rPr>
          <w:i/>
          <w:sz w:val="20"/>
          <w:szCs w:val="20"/>
        </w:rPr>
        <w:t xml:space="preserve"> </w:t>
      </w:r>
      <w:proofErr w:type="spellStart"/>
      <w:r w:rsidRPr="00C732B0">
        <w:rPr>
          <w:i/>
          <w:sz w:val="20"/>
          <w:szCs w:val="20"/>
        </w:rPr>
        <w:t>Петростат</w:t>
      </w:r>
      <w:proofErr w:type="spellEnd"/>
    </w:p>
    <w:p w14:paraId="493D474B" w14:textId="77777777" w:rsidR="00B70F00" w:rsidRPr="0096239A" w:rsidRDefault="00B70F00" w:rsidP="00E24791">
      <w:pPr>
        <w:tabs>
          <w:tab w:val="left" w:pos="993"/>
        </w:tabs>
        <w:spacing w:after="0" w:line="240" w:lineRule="auto"/>
        <w:jc w:val="both"/>
        <w:rPr>
          <w:sz w:val="20"/>
        </w:rPr>
      </w:pPr>
    </w:p>
    <w:p w14:paraId="04B367B4" w14:textId="097D6F19" w:rsidR="00AC413A" w:rsidRPr="00F771A8" w:rsidRDefault="007D7DAD" w:rsidP="00E24791">
      <w:pPr>
        <w:tabs>
          <w:tab w:val="left" w:pos="3493"/>
          <w:tab w:val="left" w:pos="3965"/>
          <w:tab w:val="center" w:pos="538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У всех рассматриваемых видов деятельности отмечена позитивная динамика, за исключением </w:t>
      </w:r>
      <w:r w:rsidR="00602A1B">
        <w:rPr>
          <w:sz w:val="24"/>
        </w:rPr>
        <w:t>трех</w:t>
      </w:r>
      <w:r>
        <w:rPr>
          <w:sz w:val="24"/>
        </w:rPr>
        <w:t>.</w:t>
      </w:r>
      <w:r w:rsidR="00BC0081">
        <w:rPr>
          <w:sz w:val="24"/>
        </w:rPr>
        <w:t xml:space="preserve"> Перегрев рынка недвижимости и</w:t>
      </w:r>
      <w:r w:rsidR="0058366B">
        <w:rPr>
          <w:sz w:val="24"/>
        </w:rPr>
        <w:t xml:space="preserve"> </w:t>
      </w:r>
      <w:r w:rsidR="00BC0081">
        <w:rPr>
          <w:sz w:val="24"/>
        </w:rPr>
        <w:t xml:space="preserve">ужесточение </w:t>
      </w:r>
      <w:r w:rsidR="00BC0081" w:rsidRPr="00F771A8">
        <w:rPr>
          <w:sz w:val="24"/>
        </w:rPr>
        <w:t xml:space="preserve">кредитных условий </w:t>
      </w:r>
      <w:r w:rsidR="0058366B" w:rsidRPr="00F771A8">
        <w:rPr>
          <w:sz w:val="24"/>
        </w:rPr>
        <w:t>оказывают негативное влияние на приток средств в сферу, связанную с операциями в недвижимое имущество</w:t>
      </w:r>
      <w:r w:rsidR="009075C4" w:rsidRPr="00F771A8">
        <w:rPr>
          <w:sz w:val="24"/>
        </w:rPr>
        <w:t xml:space="preserve"> (</w:t>
      </w:r>
      <w:r w:rsidR="00F771A8" w:rsidRPr="00F771A8">
        <w:rPr>
          <w:sz w:val="24"/>
        </w:rPr>
        <w:t xml:space="preserve">ИФО – </w:t>
      </w:r>
      <w:r w:rsidR="00602A1B" w:rsidRPr="00F771A8">
        <w:rPr>
          <w:sz w:val="24"/>
        </w:rPr>
        <w:t>78,5</w:t>
      </w:r>
      <w:r w:rsidR="009075C4" w:rsidRPr="00F771A8">
        <w:rPr>
          <w:sz w:val="24"/>
        </w:rPr>
        <w:t>%).</w:t>
      </w:r>
      <w:r w:rsidR="0058366B" w:rsidRPr="00F771A8">
        <w:rPr>
          <w:sz w:val="24"/>
        </w:rPr>
        <w:t xml:space="preserve"> После </w:t>
      </w:r>
      <w:r w:rsidR="00AF4F83" w:rsidRPr="00F771A8">
        <w:rPr>
          <w:sz w:val="24"/>
        </w:rPr>
        <w:t>при</w:t>
      </w:r>
      <w:r w:rsidR="0058366B" w:rsidRPr="00F771A8">
        <w:rPr>
          <w:sz w:val="24"/>
        </w:rPr>
        <w:t xml:space="preserve">роста </w:t>
      </w:r>
      <w:r w:rsidR="0044413E" w:rsidRPr="00F771A8">
        <w:rPr>
          <w:sz w:val="24"/>
          <w:szCs w:val="24"/>
        </w:rPr>
        <w:t>на 39,5%</w:t>
      </w:r>
      <w:r w:rsidR="0058366B" w:rsidRPr="00F771A8">
        <w:rPr>
          <w:sz w:val="24"/>
        </w:rPr>
        <w:t xml:space="preserve"> в </w:t>
      </w:r>
      <w:r w:rsidR="0058366B" w:rsidRPr="00F771A8">
        <w:rPr>
          <w:sz w:val="24"/>
          <w:szCs w:val="24"/>
        </w:rPr>
        <w:t>2022 год</w:t>
      </w:r>
      <w:r w:rsidR="0044413E" w:rsidRPr="00F771A8">
        <w:rPr>
          <w:sz w:val="24"/>
          <w:szCs w:val="24"/>
        </w:rPr>
        <w:t>у</w:t>
      </w:r>
      <w:r w:rsidR="0058366B" w:rsidRPr="00F771A8">
        <w:rPr>
          <w:sz w:val="24"/>
          <w:szCs w:val="24"/>
        </w:rPr>
        <w:t xml:space="preserve"> инвестиции в</w:t>
      </w:r>
      <w:r w:rsidR="009075C4" w:rsidRPr="00F771A8">
        <w:rPr>
          <w:sz w:val="24"/>
          <w:szCs w:val="24"/>
        </w:rPr>
        <w:t> </w:t>
      </w:r>
      <w:r w:rsidR="0058366B" w:rsidRPr="00F771A8">
        <w:rPr>
          <w:sz w:val="24"/>
          <w:szCs w:val="24"/>
        </w:rPr>
        <w:t xml:space="preserve">деятельность профессиональную, научную и техническую </w:t>
      </w:r>
      <w:r w:rsidR="0058366B" w:rsidRPr="00F771A8">
        <w:rPr>
          <w:sz w:val="24"/>
        </w:rPr>
        <w:t xml:space="preserve">в </w:t>
      </w:r>
      <w:r w:rsidR="0058366B" w:rsidRPr="00F771A8">
        <w:rPr>
          <w:sz w:val="24"/>
          <w:szCs w:val="24"/>
        </w:rPr>
        <w:t>2023 год</w:t>
      </w:r>
      <w:r w:rsidR="0044413E" w:rsidRPr="00F771A8">
        <w:rPr>
          <w:sz w:val="24"/>
          <w:szCs w:val="24"/>
        </w:rPr>
        <w:t>у</w:t>
      </w:r>
      <w:r w:rsidR="009075C4" w:rsidRPr="00F771A8">
        <w:rPr>
          <w:sz w:val="24"/>
          <w:szCs w:val="24"/>
        </w:rPr>
        <w:t xml:space="preserve"> снизились относительно прошлого года </w:t>
      </w:r>
      <w:r w:rsidR="003D0366" w:rsidRPr="00F771A8">
        <w:rPr>
          <w:sz w:val="24"/>
          <w:szCs w:val="24"/>
        </w:rPr>
        <w:t>на 2</w:t>
      </w:r>
      <w:r w:rsidR="0044413E" w:rsidRPr="00F771A8">
        <w:rPr>
          <w:sz w:val="24"/>
          <w:szCs w:val="24"/>
        </w:rPr>
        <w:t>9</w:t>
      </w:r>
      <w:r w:rsidR="003D0366" w:rsidRPr="00F771A8">
        <w:rPr>
          <w:sz w:val="24"/>
          <w:szCs w:val="24"/>
        </w:rPr>
        <w:t>%</w:t>
      </w:r>
      <w:r w:rsidR="009075C4" w:rsidRPr="00F771A8">
        <w:rPr>
          <w:sz w:val="24"/>
          <w:szCs w:val="24"/>
        </w:rPr>
        <w:t xml:space="preserve">. </w:t>
      </w:r>
      <w:r w:rsidR="006F74B6" w:rsidRPr="00F771A8">
        <w:rPr>
          <w:sz w:val="24"/>
          <w:szCs w:val="24"/>
        </w:rPr>
        <w:t>Схожая ситуация сложилась по виду деятельности в области здравоохранения и социальных услуг, где</w:t>
      </w:r>
      <w:r w:rsidR="00EB39AB">
        <w:rPr>
          <w:sz w:val="24"/>
          <w:szCs w:val="24"/>
        </w:rPr>
        <w:t xml:space="preserve"> в</w:t>
      </w:r>
      <w:r w:rsidR="006F74B6" w:rsidRPr="00F771A8">
        <w:rPr>
          <w:sz w:val="24"/>
          <w:szCs w:val="24"/>
        </w:rPr>
        <w:t xml:space="preserve"> 2020 году наблюдался почти троекратный рост инвестиций в основной капитал </w:t>
      </w:r>
      <w:r w:rsidR="00CC762C" w:rsidRPr="00F771A8">
        <w:rPr>
          <w:sz w:val="24"/>
          <w:szCs w:val="24"/>
        </w:rPr>
        <w:t xml:space="preserve">в связи с мерами, направленными на ограничение распространения </w:t>
      </w:r>
      <w:r w:rsidR="00CC762C" w:rsidRPr="00F771A8">
        <w:rPr>
          <w:sz w:val="24"/>
          <w:szCs w:val="24"/>
          <w:lang w:val="en-US"/>
        </w:rPr>
        <w:t>COVID</w:t>
      </w:r>
      <w:r w:rsidR="00CC762C" w:rsidRPr="00F771A8">
        <w:rPr>
          <w:sz w:val="24"/>
          <w:szCs w:val="24"/>
        </w:rPr>
        <w:t>-19. После указанного скачка объем инвестиций в 2021–2023 гг. постепенно приближается к «</w:t>
      </w:r>
      <w:proofErr w:type="spellStart"/>
      <w:r w:rsidR="00CC762C" w:rsidRPr="00F771A8">
        <w:rPr>
          <w:sz w:val="24"/>
          <w:szCs w:val="24"/>
        </w:rPr>
        <w:t>доковидным</w:t>
      </w:r>
      <w:proofErr w:type="spellEnd"/>
      <w:r w:rsidR="00CC762C" w:rsidRPr="00F771A8">
        <w:rPr>
          <w:sz w:val="24"/>
          <w:szCs w:val="24"/>
        </w:rPr>
        <w:t xml:space="preserve">» значениям, снизившись на 22,2% в 2023 году. </w:t>
      </w:r>
    </w:p>
    <w:p w14:paraId="212B2318" w14:textId="0EEE1D1F" w:rsidR="00B07414" w:rsidRDefault="00B0741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CEBFAB" w14:textId="49AA4618" w:rsidR="00B07414" w:rsidRPr="00B07414" w:rsidRDefault="00B07414" w:rsidP="00B07414">
      <w:pPr>
        <w:spacing w:before="240" w:after="0" w:line="240" w:lineRule="auto"/>
        <w:jc w:val="center"/>
        <w:rPr>
          <w:sz w:val="24"/>
          <w:szCs w:val="24"/>
        </w:rPr>
      </w:pPr>
      <w:r w:rsidRPr="00B07414">
        <w:rPr>
          <w:b/>
          <w:bCs/>
          <w:szCs w:val="24"/>
        </w:rPr>
        <w:lastRenderedPageBreak/>
        <w:t xml:space="preserve">Рис. 3. </w:t>
      </w:r>
      <w:r w:rsidRPr="00CB0A7E">
        <w:rPr>
          <w:b/>
          <w:bCs/>
          <w:sz w:val="24"/>
          <w:szCs w:val="24"/>
        </w:rPr>
        <w:t>Структура инвестиций в основной капитал по производимой продукции в обрабатывающих производствах (без субъек</w:t>
      </w:r>
      <w:r w:rsidR="00F771A8" w:rsidRPr="00CB0A7E">
        <w:rPr>
          <w:b/>
          <w:bCs/>
          <w:sz w:val="24"/>
          <w:szCs w:val="24"/>
        </w:rPr>
        <w:t>тов малого предпринимательства)</w:t>
      </w:r>
      <w:r w:rsidRPr="00CB0A7E">
        <w:rPr>
          <w:rStyle w:val="ab"/>
          <w:b/>
          <w:bCs/>
          <w:sz w:val="24"/>
          <w:szCs w:val="24"/>
        </w:rPr>
        <w:footnoteReference w:id="2"/>
      </w:r>
    </w:p>
    <w:p w14:paraId="3F760044" w14:textId="067918B1" w:rsidR="00B70F00" w:rsidRDefault="005E27A4" w:rsidP="00E24791">
      <w:pPr>
        <w:tabs>
          <w:tab w:val="left" w:pos="4590"/>
        </w:tabs>
        <w:spacing w:after="0" w:line="240" w:lineRule="auto"/>
        <w:jc w:val="both"/>
        <w:rPr>
          <w:sz w:val="24"/>
        </w:rPr>
      </w:pPr>
      <w:r w:rsidRPr="00F7463A">
        <w:rPr>
          <w:noProof/>
          <w:color w:val="FEFFFF" w:themeColor="background1"/>
          <w:sz w:val="20"/>
          <w:szCs w:val="20"/>
          <w:lang w:eastAsia="ru-RU"/>
        </w:rPr>
        <w:drawing>
          <wp:inline distT="0" distB="0" distL="0" distR="0" wp14:anchorId="78B08BA6" wp14:editId="307D1DFE">
            <wp:extent cx="6656052" cy="3084195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945518" w:rsidRPr="00143AC9">
        <w:rPr>
          <w:noProof/>
          <w:sz w:val="24"/>
          <w:lang w:eastAsia="ru-RU"/>
        </w:rPr>
        <mc:AlternateContent>
          <mc:Choice Requires="wps">
            <w:drawing>
              <wp:inline distT="0" distB="0" distL="0" distR="0" wp14:anchorId="56D77308" wp14:editId="383719CF">
                <wp:extent cx="6532880" cy="2389031"/>
                <wp:effectExtent l="0" t="0" r="0" b="0"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880" cy="23890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4B9BE3" w14:textId="204F3CE1" w:rsidR="00B07414" w:rsidRPr="00B07414" w:rsidRDefault="004C6902" w:rsidP="00B07414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D0366"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Pr="003D0366"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07414" w:rsidRPr="00B07414">
                              <w:rPr>
                                <w:kern w:val="24"/>
                                <w:sz w:val="22"/>
                                <w:szCs w:val="22"/>
                              </w:rPr>
                              <w:t>Лекарственные средства и материалы, применяемые в медицинских целях</w:t>
                            </w:r>
                            <w:r w:rsidR="00897D1A">
                              <w:rPr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CA8303B" w14:textId="5BB5A732" w:rsidR="00B07414" w:rsidRPr="00B07414" w:rsidRDefault="00B07414" w:rsidP="00B07414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07414"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7414">
                              <w:rPr>
                                <w:kern w:val="24"/>
                                <w:sz w:val="22"/>
                                <w:szCs w:val="22"/>
                              </w:rPr>
                              <w:t>Машины и оборудования, не включенные в другие группировки</w:t>
                            </w:r>
                            <w:r w:rsidR="00897D1A">
                              <w:rPr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4EF5F7" w14:textId="0586EA40" w:rsidR="00B07414" w:rsidRPr="00B07414" w:rsidRDefault="00B07414" w:rsidP="00B07414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07414"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3.</w:t>
                            </w:r>
                            <w:r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7414">
                              <w:rPr>
                                <w:kern w:val="24"/>
                                <w:sz w:val="22"/>
                                <w:szCs w:val="22"/>
                              </w:rPr>
                              <w:t>Готовые металлические изделия, кроме машин и оборудования</w:t>
                            </w:r>
                            <w:r w:rsidR="00897D1A">
                              <w:rPr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F3ED6DB" w14:textId="5461C6C3" w:rsidR="00B07414" w:rsidRPr="00B07414" w:rsidRDefault="00B07414" w:rsidP="00B07414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07414"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4.</w:t>
                            </w:r>
                            <w:r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7414">
                              <w:rPr>
                                <w:kern w:val="24"/>
                                <w:sz w:val="22"/>
                                <w:szCs w:val="22"/>
                              </w:rPr>
                              <w:t>Компьютеры, электронные и оптические изделия</w:t>
                            </w:r>
                            <w:r w:rsidR="00897D1A">
                              <w:rPr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31C7CC5" w14:textId="00E7F7AC" w:rsidR="00B07414" w:rsidRPr="00B07414" w:rsidRDefault="0073119B" w:rsidP="00B07414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="00B07414" w:rsidRPr="00B07414"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="00B07414"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7414" w:rsidRPr="00B07414">
                              <w:rPr>
                                <w:kern w:val="24"/>
                                <w:sz w:val="22"/>
                                <w:szCs w:val="22"/>
                              </w:rPr>
                              <w:t>Автотранспортные средства, прицепы и полуприцепы</w:t>
                            </w:r>
                            <w:r w:rsidR="00897D1A">
                              <w:rPr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6EB5FB8" w14:textId="6ED4034D" w:rsidR="00B07414" w:rsidRPr="00B07414" w:rsidRDefault="0073119B" w:rsidP="00B07414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 w:rsidR="00B07414" w:rsidRPr="00B07414"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="00B07414"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7414" w:rsidRPr="00B07414">
                              <w:rPr>
                                <w:kern w:val="24"/>
                                <w:sz w:val="22"/>
                                <w:szCs w:val="22"/>
                              </w:rPr>
                              <w:t>Прочие транспортные средства и оборудования</w:t>
                            </w:r>
                            <w:r w:rsidR="00897D1A">
                              <w:rPr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EC3DAA0" w14:textId="2F60F594" w:rsidR="00B07414" w:rsidRPr="00B07414" w:rsidRDefault="0073119B" w:rsidP="00B07414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 w:rsidR="00B07414" w:rsidRPr="00B07414"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="00B07414"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7414" w:rsidRPr="00B07414">
                              <w:rPr>
                                <w:kern w:val="24"/>
                                <w:sz w:val="22"/>
                                <w:szCs w:val="22"/>
                              </w:rPr>
                              <w:t>Пищевые продукты</w:t>
                            </w:r>
                            <w:r w:rsidR="00897D1A">
                              <w:rPr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AA72296" w14:textId="6E1FB206" w:rsidR="00B07414" w:rsidRPr="00B07414" w:rsidRDefault="0073119B" w:rsidP="00B07414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8</w:t>
                            </w:r>
                            <w:r w:rsidR="00B07414" w:rsidRPr="00B07414"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="00B07414"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7414" w:rsidRPr="00B07414">
                              <w:rPr>
                                <w:kern w:val="24"/>
                                <w:sz w:val="22"/>
                                <w:szCs w:val="22"/>
                              </w:rPr>
                              <w:t>Металлургия</w:t>
                            </w:r>
                            <w:r w:rsidR="00897D1A">
                              <w:rPr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8E6B513" w14:textId="497ACCDC" w:rsidR="00B07414" w:rsidRPr="00B07414" w:rsidRDefault="0073119B" w:rsidP="00B07414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9</w:t>
                            </w:r>
                            <w:r w:rsidR="00B07414" w:rsidRPr="00B07414"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="00B07414"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07414" w:rsidRPr="00B07414">
                              <w:rPr>
                                <w:kern w:val="24"/>
                                <w:sz w:val="22"/>
                                <w:szCs w:val="22"/>
                              </w:rPr>
                              <w:t>Напитки</w:t>
                            </w:r>
                            <w:r w:rsidR="00897D1A">
                              <w:rPr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5BD78EA" w14:textId="492D8372" w:rsidR="00B07414" w:rsidRPr="00B07414" w:rsidRDefault="00B07414" w:rsidP="00B07414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07414"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73119B"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Pr="00B07414"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7414">
                              <w:rPr>
                                <w:kern w:val="24"/>
                                <w:sz w:val="22"/>
                                <w:szCs w:val="22"/>
                              </w:rPr>
                              <w:t>Электрическое оборудование</w:t>
                            </w:r>
                            <w:r w:rsidR="00897D1A">
                              <w:rPr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D468C5" w14:textId="0D21354A" w:rsidR="00B07414" w:rsidRPr="00B07414" w:rsidRDefault="00B07414" w:rsidP="00B07414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07414"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73119B"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Pr="00B07414"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7414">
                              <w:rPr>
                                <w:kern w:val="24"/>
                                <w:sz w:val="22"/>
                                <w:szCs w:val="22"/>
                              </w:rPr>
                              <w:t>Прочая неметаллическая минеральная продукция</w:t>
                            </w:r>
                            <w:r w:rsidR="00897D1A">
                              <w:rPr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FC43D81" w14:textId="07E04260" w:rsidR="00B07414" w:rsidRDefault="00B07414" w:rsidP="00B07414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07414"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73119B"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Pr="00B07414"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7414">
                              <w:rPr>
                                <w:kern w:val="24"/>
                                <w:sz w:val="22"/>
                                <w:szCs w:val="22"/>
                              </w:rPr>
                              <w:t>Химические вещества и химические продукты</w:t>
                            </w:r>
                            <w:r w:rsidR="00897D1A">
                              <w:rPr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E64235" w14:textId="163FD7D4" w:rsidR="0073119B" w:rsidRPr="00B07414" w:rsidRDefault="0073119B" w:rsidP="00B07414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3119B"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13.</w:t>
                            </w:r>
                            <w:r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 Бумага и бумажные изделия</w:t>
                            </w:r>
                            <w:r w:rsidR="00897D1A">
                              <w:rPr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CE69A2B" w14:textId="6888F10F" w:rsidR="004C6902" w:rsidRPr="003D0366" w:rsidRDefault="00B07414" w:rsidP="00B07414">
                            <w:pPr>
                              <w:pStyle w:val="ac"/>
                              <w:spacing w:before="0" w:beforeAutospacing="0" w:after="0" w:afterAutospacing="0"/>
                              <w:jc w:val="both"/>
                              <w:rPr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07414">
                              <w:rPr>
                                <w:b/>
                                <w:kern w:val="24"/>
                                <w:sz w:val="22"/>
                                <w:szCs w:val="22"/>
                              </w:rPr>
                              <w:t>14.</w:t>
                            </w:r>
                            <w:r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7414">
                              <w:rPr>
                                <w:kern w:val="24"/>
                                <w:sz w:val="22"/>
                                <w:szCs w:val="22"/>
                              </w:rPr>
                              <w:t>Иная продукция</w:t>
                            </w:r>
                            <w:r w:rsidR="00897D1A">
                              <w:rPr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77308" id="TextBox 3" o:spid="_x0000_s1027" type="#_x0000_t202" style="width:514.4pt;height:18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OXlwEAABUDAAAOAAAAZHJzL2Uyb0RvYy54bWysUk1v2zAMvRfYfxB0X+wmbZEZcYptRXsZ&#10;2gLtfoAiS7EAS9RIJXb+/SglTYfuNuyiD5J6fO9Rq9vJD2JvkByEVl7OailM0NC5sG3lz9f7z0sp&#10;KKnQqQGCaeXBkLxdf7pYjbExc+hh6AwKBgnUjLGVfUqxqSrSvfGKZhBN4KQF9CrxFbdVh2pkdD9U&#10;87q+qUbALiJoQ8TRu2NSrgu+tUanJ2vJJDG0krmlsmJZN3mt1ivVbFHF3ukTDfUPLLxygZueoe5U&#10;UmKH7i8o7zQCgU0zDb4Ca502RQOruaw/qHnpVTRFC5tD8WwT/T9Y/bh/RuG6Vl5JEZTnEb2aKX2D&#10;SSyyOWOkhmteIlelicM85Lc4cTBrniz6vLMawXm2+XC2lrGE5uDN9WK+XHJKc26+WH6pFwWnen8e&#10;kdKDAS/yoZXIsyuWqv0PSkyFS99KcrcA924YcjxzPHLJpzRtpiLozHMD3YHpjzzlVtKvnUIjBabh&#10;O5RPcQT7uktgXemTUY5vTuDsfWl/+id5uH/eS9X7b17/BgAA//8DAFBLAwQUAAYACAAAACEAY66c&#10;pdsAAAAGAQAADwAAAGRycy9kb3ducmV2LnhtbEyPwU7DMBBE70j8g7VI3KhNgFJCNhUCcQVRaCVu&#10;23ibRMTrKHab8Pe4XOAy0mpWM2+K5eQ6deAhtF4QLmcGFEvlbSs1wsf788UCVIgkljovjPDNAZbl&#10;6UlBufWjvPFhFWuVQiTkhNDE2Odah6phR2Hme5bk7fzgKKZzqLUdaEzhrtOZMXPtqJXU0FDPjw1X&#10;X6u9Q1i/7D431+a1fnI3/egno8XdacTzs+nhHlTkKf49wxE/oUOZmLZ+LzaoDiENib969Ey2SDu2&#10;CFe38wx0Wej/+OUPAAAA//8DAFBLAQItABQABgAIAAAAIQC2gziS/gAAAOEBAAATAAAAAAAAAAAA&#10;AAAAAAAAAABbQ29udGVudF9UeXBlc10ueG1sUEsBAi0AFAAGAAgAAAAhADj9If/WAAAAlAEAAAsA&#10;AAAAAAAAAAAAAAAALwEAAF9yZWxzLy5yZWxzUEsBAi0AFAAGAAgAAAAhAJKTA5eXAQAAFQMAAA4A&#10;AAAAAAAAAAAAAAAALgIAAGRycy9lMm9Eb2MueG1sUEsBAi0AFAAGAAgAAAAhAGOunKXbAAAABgEA&#10;AA8AAAAAAAAAAAAAAAAA8QMAAGRycy9kb3ducmV2LnhtbFBLBQYAAAAABAAEAPMAAAD5BAAAAAA=&#10;" filled="f" stroked="f">
                <v:textbox>
                  <w:txbxContent>
                    <w:p w14:paraId="414B9BE3" w14:textId="204F3CE1" w:rsidR="00B07414" w:rsidRPr="00B07414" w:rsidRDefault="004C6902" w:rsidP="00B07414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 w:rsidRPr="003D0366"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  <w:t>1</w:t>
                      </w:r>
                      <w:r w:rsidRPr="003D0366">
                        <w:rPr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  <w:r w:rsidR="00B07414" w:rsidRPr="00B07414">
                        <w:rPr>
                          <w:kern w:val="24"/>
                          <w:sz w:val="22"/>
                          <w:szCs w:val="22"/>
                        </w:rPr>
                        <w:t>Лекарственные средства и материалы, применяемые в медицинских целях</w:t>
                      </w:r>
                      <w:r w:rsidR="00897D1A">
                        <w:rPr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0CA8303B" w14:textId="5BB5A732" w:rsidR="00B07414" w:rsidRPr="00B07414" w:rsidRDefault="00B07414" w:rsidP="00B07414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 w:rsidRPr="00B07414">
                        <w:rPr>
                          <w:b/>
                          <w:kern w:val="24"/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B07414">
                        <w:rPr>
                          <w:kern w:val="24"/>
                          <w:sz w:val="22"/>
                          <w:szCs w:val="22"/>
                        </w:rPr>
                        <w:t>Машины и оборудования, не включенные в другие группировки</w:t>
                      </w:r>
                      <w:r w:rsidR="00897D1A">
                        <w:rPr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2B4EF5F7" w14:textId="0586EA40" w:rsidR="00B07414" w:rsidRPr="00B07414" w:rsidRDefault="00B07414" w:rsidP="00B07414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 w:rsidRPr="00B07414">
                        <w:rPr>
                          <w:b/>
                          <w:kern w:val="24"/>
                          <w:sz w:val="22"/>
                          <w:szCs w:val="22"/>
                        </w:rPr>
                        <w:t>3.</w:t>
                      </w:r>
                      <w:r>
                        <w:rPr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B07414">
                        <w:rPr>
                          <w:kern w:val="24"/>
                          <w:sz w:val="22"/>
                          <w:szCs w:val="22"/>
                        </w:rPr>
                        <w:t>Готовые металлические изделия, кроме машин и оборудования</w:t>
                      </w:r>
                      <w:r w:rsidR="00897D1A">
                        <w:rPr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0F3ED6DB" w14:textId="5461C6C3" w:rsidR="00B07414" w:rsidRPr="00B07414" w:rsidRDefault="00B07414" w:rsidP="00B07414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 w:rsidRPr="00B07414">
                        <w:rPr>
                          <w:b/>
                          <w:kern w:val="24"/>
                          <w:sz w:val="22"/>
                          <w:szCs w:val="22"/>
                        </w:rPr>
                        <w:t>4.</w:t>
                      </w:r>
                      <w:r>
                        <w:rPr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B07414">
                        <w:rPr>
                          <w:kern w:val="24"/>
                          <w:sz w:val="22"/>
                          <w:szCs w:val="22"/>
                        </w:rPr>
                        <w:t>Компьютеры, электронные и оптические изделия</w:t>
                      </w:r>
                      <w:r w:rsidR="00897D1A">
                        <w:rPr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431C7CC5" w14:textId="00E7F7AC" w:rsidR="00B07414" w:rsidRPr="00B07414" w:rsidRDefault="0073119B" w:rsidP="00B07414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kern w:val="24"/>
                          <w:sz w:val="22"/>
                          <w:szCs w:val="22"/>
                        </w:rPr>
                        <w:t>5</w:t>
                      </w:r>
                      <w:r w:rsidR="00B07414" w:rsidRPr="00B07414">
                        <w:rPr>
                          <w:b/>
                          <w:kern w:val="24"/>
                          <w:sz w:val="22"/>
                          <w:szCs w:val="22"/>
                        </w:rPr>
                        <w:t>.</w:t>
                      </w:r>
                      <w:r w:rsidR="00B07414">
                        <w:rPr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B07414" w:rsidRPr="00B07414">
                        <w:rPr>
                          <w:kern w:val="24"/>
                          <w:sz w:val="22"/>
                          <w:szCs w:val="22"/>
                        </w:rPr>
                        <w:t>Автотранспортные средства, прицепы и полуприцепы</w:t>
                      </w:r>
                      <w:r w:rsidR="00897D1A">
                        <w:rPr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36EB5FB8" w14:textId="6ED4034D" w:rsidR="00B07414" w:rsidRPr="00B07414" w:rsidRDefault="0073119B" w:rsidP="00B07414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kern w:val="24"/>
                          <w:sz w:val="22"/>
                          <w:szCs w:val="22"/>
                        </w:rPr>
                        <w:t>6</w:t>
                      </w:r>
                      <w:r w:rsidR="00B07414" w:rsidRPr="00B07414">
                        <w:rPr>
                          <w:b/>
                          <w:kern w:val="24"/>
                          <w:sz w:val="22"/>
                          <w:szCs w:val="22"/>
                        </w:rPr>
                        <w:t>.</w:t>
                      </w:r>
                      <w:r w:rsidR="00B07414">
                        <w:rPr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B07414" w:rsidRPr="00B07414">
                        <w:rPr>
                          <w:kern w:val="24"/>
                          <w:sz w:val="22"/>
                          <w:szCs w:val="22"/>
                        </w:rPr>
                        <w:t>Прочие транспортные средства и оборудования</w:t>
                      </w:r>
                      <w:r w:rsidR="00897D1A">
                        <w:rPr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7EC3DAA0" w14:textId="2F60F594" w:rsidR="00B07414" w:rsidRPr="00B07414" w:rsidRDefault="0073119B" w:rsidP="00B07414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kern w:val="24"/>
                          <w:sz w:val="22"/>
                          <w:szCs w:val="22"/>
                        </w:rPr>
                        <w:t>7</w:t>
                      </w:r>
                      <w:r w:rsidR="00B07414" w:rsidRPr="00B07414">
                        <w:rPr>
                          <w:b/>
                          <w:kern w:val="24"/>
                          <w:sz w:val="22"/>
                          <w:szCs w:val="22"/>
                        </w:rPr>
                        <w:t>.</w:t>
                      </w:r>
                      <w:r w:rsidR="00B07414">
                        <w:rPr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B07414" w:rsidRPr="00B07414">
                        <w:rPr>
                          <w:kern w:val="24"/>
                          <w:sz w:val="22"/>
                          <w:szCs w:val="22"/>
                        </w:rPr>
                        <w:t>Пищевые продукты</w:t>
                      </w:r>
                      <w:r w:rsidR="00897D1A">
                        <w:rPr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3AA72296" w14:textId="6E1FB206" w:rsidR="00B07414" w:rsidRPr="00B07414" w:rsidRDefault="0073119B" w:rsidP="00B07414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kern w:val="24"/>
                          <w:sz w:val="22"/>
                          <w:szCs w:val="22"/>
                        </w:rPr>
                        <w:t>8</w:t>
                      </w:r>
                      <w:r w:rsidR="00B07414" w:rsidRPr="00B07414">
                        <w:rPr>
                          <w:b/>
                          <w:kern w:val="24"/>
                          <w:sz w:val="22"/>
                          <w:szCs w:val="22"/>
                        </w:rPr>
                        <w:t>.</w:t>
                      </w:r>
                      <w:r w:rsidR="00B07414">
                        <w:rPr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B07414" w:rsidRPr="00B07414">
                        <w:rPr>
                          <w:kern w:val="24"/>
                          <w:sz w:val="22"/>
                          <w:szCs w:val="22"/>
                        </w:rPr>
                        <w:t>Металлургия</w:t>
                      </w:r>
                      <w:r w:rsidR="00897D1A">
                        <w:rPr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38E6B513" w14:textId="497ACCDC" w:rsidR="00B07414" w:rsidRPr="00B07414" w:rsidRDefault="0073119B" w:rsidP="00B07414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kern w:val="24"/>
                          <w:sz w:val="22"/>
                          <w:szCs w:val="22"/>
                        </w:rPr>
                        <w:t>9</w:t>
                      </w:r>
                      <w:r w:rsidR="00B07414" w:rsidRPr="00B07414">
                        <w:rPr>
                          <w:b/>
                          <w:kern w:val="24"/>
                          <w:sz w:val="22"/>
                          <w:szCs w:val="22"/>
                        </w:rPr>
                        <w:t>.</w:t>
                      </w:r>
                      <w:r w:rsidR="00B07414">
                        <w:rPr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B07414" w:rsidRPr="00B07414">
                        <w:rPr>
                          <w:kern w:val="24"/>
                          <w:sz w:val="22"/>
                          <w:szCs w:val="22"/>
                        </w:rPr>
                        <w:t>Напитки</w:t>
                      </w:r>
                      <w:r w:rsidR="00897D1A">
                        <w:rPr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05BD78EA" w14:textId="492D8372" w:rsidR="00B07414" w:rsidRPr="00B07414" w:rsidRDefault="00B07414" w:rsidP="00B07414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 w:rsidRPr="00B07414">
                        <w:rPr>
                          <w:b/>
                          <w:kern w:val="24"/>
                          <w:sz w:val="22"/>
                          <w:szCs w:val="22"/>
                        </w:rPr>
                        <w:t>1</w:t>
                      </w:r>
                      <w:r w:rsidR="0073119B">
                        <w:rPr>
                          <w:b/>
                          <w:kern w:val="24"/>
                          <w:sz w:val="22"/>
                          <w:szCs w:val="22"/>
                        </w:rPr>
                        <w:t>0</w:t>
                      </w:r>
                      <w:r w:rsidRPr="00B07414">
                        <w:rPr>
                          <w:b/>
                          <w:kern w:val="24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B07414">
                        <w:rPr>
                          <w:kern w:val="24"/>
                          <w:sz w:val="22"/>
                          <w:szCs w:val="22"/>
                        </w:rPr>
                        <w:t>Электрическое оборудование</w:t>
                      </w:r>
                      <w:r w:rsidR="00897D1A">
                        <w:rPr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50D468C5" w14:textId="0D21354A" w:rsidR="00B07414" w:rsidRPr="00B07414" w:rsidRDefault="00B07414" w:rsidP="00B07414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 w:rsidRPr="00B07414">
                        <w:rPr>
                          <w:b/>
                          <w:kern w:val="24"/>
                          <w:sz w:val="22"/>
                          <w:szCs w:val="22"/>
                        </w:rPr>
                        <w:t>1</w:t>
                      </w:r>
                      <w:r w:rsidR="0073119B">
                        <w:rPr>
                          <w:b/>
                          <w:kern w:val="24"/>
                          <w:sz w:val="22"/>
                          <w:szCs w:val="22"/>
                        </w:rPr>
                        <w:t>1</w:t>
                      </w:r>
                      <w:r w:rsidRPr="00B07414">
                        <w:rPr>
                          <w:b/>
                          <w:kern w:val="24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B07414">
                        <w:rPr>
                          <w:kern w:val="24"/>
                          <w:sz w:val="22"/>
                          <w:szCs w:val="22"/>
                        </w:rPr>
                        <w:t>Прочая неметаллическая минеральная продукция</w:t>
                      </w:r>
                      <w:r w:rsidR="00897D1A">
                        <w:rPr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7FC43D81" w14:textId="07E04260" w:rsidR="00B07414" w:rsidRDefault="00B07414" w:rsidP="00B07414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 w:rsidRPr="00B07414">
                        <w:rPr>
                          <w:b/>
                          <w:kern w:val="24"/>
                          <w:sz w:val="22"/>
                          <w:szCs w:val="22"/>
                        </w:rPr>
                        <w:t>1</w:t>
                      </w:r>
                      <w:r w:rsidR="0073119B">
                        <w:rPr>
                          <w:b/>
                          <w:kern w:val="24"/>
                          <w:sz w:val="22"/>
                          <w:szCs w:val="22"/>
                        </w:rPr>
                        <w:t>2</w:t>
                      </w:r>
                      <w:r w:rsidRPr="00B07414">
                        <w:rPr>
                          <w:b/>
                          <w:kern w:val="24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B07414">
                        <w:rPr>
                          <w:kern w:val="24"/>
                          <w:sz w:val="22"/>
                          <w:szCs w:val="22"/>
                        </w:rPr>
                        <w:t>Химические вещества и химические продукты</w:t>
                      </w:r>
                      <w:r w:rsidR="00897D1A">
                        <w:rPr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50E64235" w14:textId="163FD7D4" w:rsidR="0073119B" w:rsidRPr="00B07414" w:rsidRDefault="0073119B" w:rsidP="00B07414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 w:rsidRPr="0073119B">
                        <w:rPr>
                          <w:b/>
                          <w:kern w:val="24"/>
                          <w:sz w:val="22"/>
                          <w:szCs w:val="22"/>
                        </w:rPr>
                        <w:t>13.</w:t>
                      </w:r>
                      <w:r>
                        <w:rPr>
                          <w:kern w:val="24"/>
                          <w:sz w:val="22"/>
                          <w:szCs w:val="22"/>
                        </w:rPr>
                        <w:t xml:space="preserve"> Бумага и бумажные изделия</w:t>
                      </w:r>
                      <w:r w:rsidR="00897D1A">
                        <w:rPr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6CE69A2B" w14:textId="6888F10F" w:rsidR="004C6902" w:rsidRPr="003D0366" w:rsidRDefault="00B07414" w:rsidP="00B07414">
                      <w:pPr>
                        <w:pStyle w:val="ac"/>
                        <w:spacing w:before="0" w:beforeAutospacing="0" w:after="0" w:afterAutospacing="0"/>
                        <w:jc w:val="both"/>
                        <w:rPr>
                          <w:kern w:val="24"/>
                          <w:sz w:val="22"/>
                          <w:szCs w:val="22"/>
                        </w:rPr>
                      </w:pPr>
                      <w:r w:rsidRPr="00B07414">
                        <w:rPr>
                          <w:b/>
                          <w:kern w:val="24"/>
                          <w:sz w:val="22"/>
                          <w:szCs w:val="22"/>
                        </w:rPr>
                        <w:t>14.</w:t>
                      </w:r>
                      <w:r>
                        <w:rPr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B07414">
                        <w:rPr>
                          <w:kern w:val="24"/>
                          <w:sz w:val="22"/>
                          <w:szCs w:val="22"/>
                        </w:rPr>
                        <w:t>Иная продукция</w:t>
                      </w:r>
                      <w:r w:rsidR="00897D1A">
                        <w:rPr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A2D70F" w14:textId="2A45B557" w:rsidR="00945518" w:rsidRPr="003D0366" w:rsidRDefault="00B70F00" w:rsidP="00E24791">
      <w:pPr>
        <w:spacing w:after="0" w:line="240" w:lineRule="auto"/>
        <w:jc w:val="center"/>
        <w:rPr>
          <w:i/>
          <w:sz w:val="20"/>
          <w:szCs w:val="20"/>
        </w:rPr>
      </w:pPr>
      <w:r w:rsidRPr="00C732B0">
        <w:rPr>
          <w:i/>
          <w:sz w:val="20"/>
          <w:szCs w:val="20"/>
        </w:rPr>
        <w:t xml:space="preserve">Источник: </w:t>
      </w:r>
      <w:proofErr w:type="spellStart"/>
      <w:r w:rsidRPr="00C732B0">
        <w:rPr>
          <w:i/>
          <w:sz w:val="20"/>
          <w:szCs w:val="20"/>
        </w:rPr>
        <w:t>Петростат</w:t>
      </w:r>
      <w:proofErr w:type="spellEnd"/>
    </w:p>
    <w:p w14:paraId="547D3195" w14:textId="77777777" w:rsidR="008A43EC" w:rsidRPr="008A43EC" w:rsidRDefault="008A43EC" w:rsidP="00E24791">
      <w:pPr>
        <w:spacing w:after="0" w:line="240" w:lineRule="auto"/>
        <w:jc w:val="center"/>
        <w:rPr>
          <w:i/>
          <w:sz w:val="20"/>
          <w:szCs w:val="20"/>
        </w:rPr>
      </w:pPr>
    </w:p>
    <w:p w14:paraId="2AE5C6B5" w14:textId="7302BAD0" w:rsidR="00BB3866" w:rsidRPr="00F771A8" w:rsidRDefault="00BA0486" w:rsidP="00E24791">
      <w:pPr>
        <w:tabs>
          <w:tab w:val="left" w:pos="993"/>
        </w:tabs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По итогам </w:t>
      </w:r>
      <w:r>
        <w:rPr>
          <w:sz w:val="24"/>
          <w:szCs w:val="24"/>
        </w:rPr>
        <w:t>2023 года</w:t>
      </w:r>
      <w:r>
        <w:rPr>
          <w:sz w:val="24"/>
        </w:rPr>
        <w:t xml:space="preserve"> </w:t>
      </w:r>
      <w:r w:rsidRPr="00F771A8">
        <w:rPr>
          <w:sz w:val="24"/>
        </w:rPr>
        <w:t>наибольшая доля инвестиций (</w:t>
      </w:r>
      <w:r w:rsidR="00F771A8" w:rsidRPr="00F771A8">
        <w:rPr>
          <w:sz w:val="24"/>
        </w:rPr>
        <w:t xml:space="preserve">рис. </w:t>
      </w:r>
      <w:r w:rsidR="00F771A8">
        <w:rPr>
          <w:sz w:val="24"/>
        </w:rPr>
        <w:t>3</w:t>
      </w:r>
      <w:r w:rsidRPr="00F771A8">
        <w:rPr>
          <w:sz w:val="24"/>
        </w:rPr>
        <w:t xml:space="preserve">) в основной капитал </w:t>
      </w:r>
      <w:r w:rsidR="00D52231" w:rsidRPr="00F771A8">
        <w:rPr>
          <w:sz w:val="24"/>
        </w:rPr>
        <w:t>в</w:t>
      </w:r>
      <w:r w:rsidRPr="00F771A8">
        <w:rPr>
          <w:sz w:val="24"/>
        </w:rPr>
        <w:t> обрабатывающих производствах Санкт-Петербурга пришлась на</w:t>
      </w:r>
      <w:r w:rsidR="00BB3866" w:rsidRPr="00F771A8">
        <w:rPr>
          <w:sz w:val="24"/>
        </w:rPr>
        <w:t xml:space="preserve"> производств</w:t>
      </w:r>
      <w:r w:rsidRPr="00F771A8">
        <w:rPr>
          <w:sz w:val="24"/>
        </w:rPr>
        <w:t>о</w:t>
      </w:r>
      <w:r w:rsidR="00BB3866" w:rsidRPr="00F771A8">
        <w:rPr>
          <w:sz w:val="24"/>
        </w:rPr>
        <w:t xml:space="preserve"> лекарственных средств и материалов, применяемых в медицинских целях</w:t>
      </w:r>
      <w:r w:rsidRPr="00F771A8">
        <w:rPr>
          <w:sz w:val="24"/>
        </w:rPr>
        <w:t xml:space="preserve">. </w:t>
      </w:r>
      <w:r w:rsidR="008C3679">
        <w:rPr>
          <w:sz w:val="24"/>
        </w:rPr>
        <w:t>Рост инвестиций к предыдущему году составил 119,5%</w:t>
      </w:r>
      <w:r w:rsidRPr="00F771A8">
        <w:rPr>
          <w:sz w:val="24"/>
        </w:rPr>
        <w:t>.</w:t>
      </w:r>
      <w:r w:rsidR="00BB3866" w:rsidRPr="00F771A8">
        <w:rPr>
          <w:sz w:val="24"/>
        </w:rPr>
        <w:t xml:space="preserve"> </w:t>
      </w:r>
      <w:r w:rsidR="008C3679">
        <w:rPr>
          <w:sz w:val="24"/>
        </w:rPr>
        <w:t xml:space="preserve">Высоким результатам </w:t>
      </w:r>
      <w:r w:rsidR="00BB3866" w:rsidRPr="00F771A8">
        <w:rPr>
          <w:sz w:val="24"/>
        </w:rPr>
        <w:t>способствовали мероприятия, направленные на локализацию в</w:t>
      </w:r>
      <w:r w:rsidR="004A6A9A" w:rsidRPr="00F771A8">
        <w:rPr>
          <w:sz w:val="24"/>
        </w:rPr>
        <w:t> </w:t>
      </w:r>
      <w:r w:rsidR="00BB3866" w:rsidRPr="00F771A8">
        <w:rPr>
          <w:sz w:val="24"/>
        </w:rPr>
        <w:t>Санкт-Петербурге производства ряда медицинских препаратов, в</w:t>
      </w:r>
      <w:r w:rsidR="004A6A9A" w:rsidRPr="00F771A8">
        <w:rPr>
          <w:sz w:val="24"/>
        </w:rPr>
        <w:t> </w:t>
      </w:r>
      <w:r w:rsidR="00BB3866" w:rsidRPr="00F771A8">
        <w:rPr>
          <w:sz w:val="24"/>
        </w:rPr>
        <w:t>частности, заключение специальных инвестиционных контрактов (СПИК 1.0)</w:t>
      </w:r>
      <w:r w:rsidR="004A6A9A" w:rsidRPr="00F771A8">
        <w:rPr>
          <w:sz w:val="24"/>
        </w:rPr>
        <w:t xml:space="preserve"> </w:t>
      </w:r>
      <w:r w:rsidR="00BB3866" w:rsidRPr="00F771A8">
        <w:rPr>
          <w:sz w:val="24"/>
        </w:rPr>
        <w:t>с</w:t>
      </w:r>
      <w:r w:rsidR="004A6A9A" w:rsidRPr="00F771A8">
        <w:rPr>
          <w:sz w:val="24"/>
        </w:rPr>
        <w:t> </w:t>
      </w:r>
      <w:r w:rsidR="00BB3866" w:rsidRPr="00F771A8">
        <w:rPr>
          <w:sz w:val="24"/>
        </w:rPr>
        <w:t xml:space="preserve">фармакологическими компаниями </w:t>
      </w:r>
      <w:proofErr w:type="spellStart"/>
      <w:r w:rsidR="00BB3866" w:rsidRPr="00F771A8">
        <w:rPr>
          <w:sz w:val="24"/>
        </w:rPr>
        <w:t>Ге</w:t>
      </w:r>
      <w:r w:rsidR="00D52231" w:rsidRPr="00F771A8">
        <w:rPr>
          <w:sz w:val="24"/>
        </w:rPr>
        <w:t>р</w:t>
      </w:r>
      <w:r w:rsidR="00BB3866" w:rsidRPr="00F771A8">
        <w:rPr>
          <w:sz w:val="24"/>
        </w:rPr>
        <w:t>офарм</w:t>
      </w:r>
      <w:proofErr w:type="spellEnd"/>
      <w:r w:rsidR="00BB3866" w:rsidRPr="00F771A8">
        <w:rPr>
          <w:sz w:val="24"/>
        </w:rPr>
        <w:t xml:space="preserve">, </w:t>
      </w:r>
      <w:proofErr w:type="spellStart"/>
      <w:r w:rsidR="00BB3866" w:rsidRPr="00F771A8">
        <w:rPr>
          <w:sz w:val="24"/>
        </w:rPr>
        <w:t>Биокад</w:t>
      </w:r>
      <w:proofErr w:type="spellEnd"/>
      <w:r w:rsidR="00BB3866" w:rsidRPr="00F771A8">
        <w:rPr>
          <w:sz w:val="24"/>
        </w:rPr>
        <w:t xml:space="preserve"> и Активный компонент</w:t>
      </w:r>
      <w:r w:rsidR="000F328C">
        <w:rPr>
          <w:sz w:val="24"/>
        </w:rPr>
        <w:t>, а также</w:t>
      </w:r>
      <w:r w:rsidR="00BB3866" w:rsidRPr="00F771A8">
        <w:rPr>
          <w:sz w:val="24"/>
        </w:rPr>
        <w:t xml:space="preserve"> офсетного контракта с Р-Фарм.</w:t>
      </w:r>
    </w:p>
    <w:p w14:paraId="49E3599B" w14:textId="50275B49" w:rsidR="008F248C" w:rsidRPr="00F771A8" w:rsidRDefault="00BA0486" w:rsidP="00E24791">
      <w:pPr>
        <w:tabs>
          <w:tab w:val="left" w:pos="993"/>
        </w:tabs>
        <w:spacing w:after="0" w:line="240" w:lineRule="auto"/>
        <w:ind w:firstLine="567"/>
        <w:jc w:val="both"/>
        <w:rPr>
          <w:sz w:val="24"/>
        </w:rPr>
      </w:pPr>
      <w:r w:rsidRPr="00F771A8">
        <w:rPr>
          <w:sz w:val="24"/>
        </w:rPr>
        <w:t>Наибольший рост инвестиций (</w:t>
      </w:r>
      <w:r w:rsidR="00D52231" w:rsidRPr="00F771A8">
        <w:rPr>
          <w:sz w:val="24"/>
        </w:rPr>
        <w:t>17</w:t>
      </w:r>
      <w:r w:rsidRPr="00F771A8">
        <w:rPr>
          <w:sz w:val="24"/>
        </w:rPr>
        <w:t>0%)</w:t>
      </w:r>
      <w:r w:rsidR="002B0274" w:rsidRPr="00F771A8">
        <w:rPr>
          <w:sz w:val="24"/>
        </w:rPr>
        <w:t xml:space="preserve"> зафиксирован</w:t>
      </w:r>
      <w:r w:rsidRPr="00F771A8">
        <w:rPr>
          <w:sz w:val="24"/>
        </w:rPr>
        <w:t xml:space="preserve"> в </w:t>
      </w:r>
      <w:r w:rsidR="008F248C" w:rsidRPr="00F771A8">
        <w:rPr>
          <w:sz w:val="24"/>
        </w:rPr>
        <w:t>производств</w:t>
      </w:r>
      <w:r w:rsidRPr="00F771A8">
        <w:rPr>
          <w:sz w:val="24"/>
        </w:rPr>
        <w:t>е</w:t>
      </w:r>
      <w:r w:rsidR="008F248C" w:rsidRPr="00F771A8">
        <w:rPr>
          <w:sz w:val="24"/>
        </w:rPr>
        <w:t xml:space="preserve"> автотранспортных средств, прицепов и полуприцепов.</w:t>
      </w:r>
      <w:r w:rsidR="00635594" w:rsidRPr="00F771A8">
        <w:rPr>
          <w:sz w:val="24"/>
        </w:rPr>
        <w:t xml:space="preserve"> </w:t>
      </w:r>
      <w:r w:rsidR="00C376DD" w:rsidRPr="00F771A8">
        <w:rPr>
          <w:sz w:val="24"/>
        </w:rPr>
        <w:t xml:space="preserve">Автомобильная отрасль постепенно </w:t>
      </w:r>
      <w:r w:rsidR="00595CA2" w:rsidRPr="00F771A8">
        <w:rPr>
          <w:sz w:val="24"/>
        </w:rPr>
        <w:t>восстанавливается после остановки</w:t>
      </w:r>
      <w:r w:rsidR="00A008E9" w:rsidRPr="00F771A8">
        <w:rPr>
          <w:sz w:val="24"/>
        </w:rPr>
        <w:t xml:space="preserve"> производств крупнейши</w:t>
      </w:r>
      <w:r w:rsidR="00595CA2" w:rsidRPr="00F771A8">
        <w:rPr>
          <w:sz w:val="24"/>
        </w:rPr>
        <w:t>х</w:t>
      </w:r>
      <w:r w:rsidR="00833BFA" w:rsidRPr="00F771A8">
        <w:rPr>
          <w:sz w:val="24"/>
        </w:rPr>
        <w:t xml:space="preserve"> </w:t>
      </w:r>
      <w:r w:rsidR="00F905F0" w:rsidRPr="00F771A8">
        <w:rPr>
          <w:sz w:val="24"/>
        </w:rPr>
        <w:t>автомобилестроительны</w:t>
      </w:r>
      <w:r w:rsidR="00595CA2" w:rsidRPr="00F771A8">
        <w:rPr>
          <w:sz w:val="24"/>
        </w:rPr>
        <w:t>х</w:t>
      </w:r>
      <w:r w:rsidR="00F905F0" w:rsidRPr="00F771A8">
        <w:rPr>
          <w:sz w:val="24"/>
        </w:rPr>
        <w:t xml:space="preserve"> </w:t>
      </w:r>
      <w:r w:rsidR="00833BFA" w:rsidRPr="00F771A8">
        <w:rPr>
          <w:sz w:val="24"/>
        </w:rPr>
        <w:t>площад</w:t>
      </w:r>
      <w:r w:rsidR="00595CA2" w:rsidRPr="00F771A8">
        <w:rPr>
          <w:sz w:val="24"/>
        </w:rPr>
        <w:t>ок</w:t>
      </w:r>
      <w:r w:rsidR="00C94391" w:rsidRPr="00F771A8">
        <w:rPr>
          <w:sz w:val="24"/>
        </w:rPr>
        <w:t xml:space="preserve"> в 2022 году</w:t>
      </w:r>
      <w:r w:rsidR="00595CA2" w:rsidRPr="00F771A8">
        <w:rPr>
          <w:sz w:val="24"/>
        </w:rPr>
        <w:t xml:space="preserve">. В июне 2023 года после полуторагодичного простоя запустили конвейер бывшего завода </w:t>
      </w:r>
      <w:proofErr w:type="spellStart"/>
      <w:r w:rsidR="00595CA2" w:rsidRPr="00F771A8">
        <w:rPr>
          <w:sz w:val="24"/>
        </w:rPr>
        <w:t>Nissan</w:t>
      </w:r>
      <w:proofErr w:type="spellEnd"/>
      <w:r w:rsidR="008F248C" w:rsidRPr="00F771A8">
        <w:rPr>
          <w:sz w:val="24"/>
        </w:rPr>
        <w:t>,</w:t>
      </w:r>
      <w:r w:rsidR="00595CA2" w:rsidRPr="00F771A8">
        <w:rPr>
          <w:sz w:val="24"/>
        </w:rPr>
        <w:t xml:space="preserve"> на котором происходит сборка автомобиля семейства LADA С</w:t>
      </w:r>
      <w:r w:rsidR="00595CA2" w:rsidRPr="00F771A8">
        <w:rPr>
          <w:sz w:val="24"/>
        </w:rPr>
        <w:noBreakHyphen/>
        <w:t>сегмента – L</w:t>
      </w:r>
      <w:r w:rsidR="00C94391" w:rsidRPr="00F771A8">
        <w:rPr>
          <w:sz w:val="24"/>
          <w:lang w:val="en-US"/>
        </w:rPr>
        <w:t>ADA</w:t>
      </w:r>
      <w:r w:rsidR="00595CA2" w:rsidRPr="00F771A8">
        <w:rPr>
          <w:sz w:val="24"/>
        </w:rPr>
        <w:t xml:space="preserve"> X</w:t>
      </w:r>
      <w:r w:rsidR="00595CA2" w:rsidRPr="00F771A8">
        <w:rPr>
          <w:sz w:val="24"/>
        </w:rPr>
        <w:noBreakHyphen/>
      </w:r>
      <w:proofErr w:type="spellStart"/>
      <w:r w:rsidR="00595CA2" w:rsidRPr="00F771A8">
        <w:rPr>
          <w:sz w:val="24"/>
        </w:rPr>
        <w:t>Cross</w:t>
      </w:r>
      <w:proofErr w:type="spellEnd"/>
      <w:r w:rsidR="00595CA2" w:rsidRPr="00F771A8">
        <w:rPr>
          <w:sz w:val="24"/>
        </w:rPr>
        <w:t xml:space="preserve"> 5</w:t>
      </w:r>
      <w:r w:rsidR="003D0366" w:rsidRPr="00F771A8">
        <w:rPr>
          <w:sz w:val="24"/>
        </w:rPr>
        <w:t>.</w:t>
      </w:r>
      <w:r w:rsidR="00436364" w:rsidRPr="00F771A8">
        <w:rPr>
          <w:rStyle w:val="ab"/>
          <w:sz w:val="24"/>
        </w:rPr>
        <w:footnoteReference w:id="3"/>
      </w:r>
      <w:r w:rsidR="008F248C" w:rsidRPr="00F771A8">
        <w:rPr>
          <w:sz w:val="24"/>
        </w:rPr>
        <w:t xml:space="preserve"> </w:t>
      </w:r>
    </w:p>
    <w:p w14:paraId="28D48BD9" w14:textId="2A548FB4" w:rsidR="00601473" w:rsidRPr="00F771A8" w:rsidRDefault="000949D1" w:rsidP="00E24791">
      <w:pPr>
        <w:tabs>
          <w:tab w:val="left" w:pos="993"/>
        </w:tabs>
        <w:spacing w:after="0" w:line="240" w:lineRule="auto"/>
        <w:ind w:firstLine="567"/>
        <w:jc w:val="both"/>
        <w:rPr>
          <w:sz w:val="24"/>
        </w:rPr>
      </w:pPr>
      <w:r w:rsidRPr="00F771A8">
        <w:rPr>
          <w:sz w:val="24"/>
        </w:rPr>
        <w:t>Среди отраслей обрабатывающей промышленности с объемом инвестиций в основной капитал более 2% з</w:t>
      </w:r>
      <w:r w:rsidR="00A008E9" w:rsidRPr="00F771A8">
        <w:rPr>
          <w:sz w:val="24"/>
        </w:rPr>
        <w:t>начительный рост был</w:t>
      </w:r>
      <w:r w:rsidR="00BA0486" w:rsidRPr="00F771A8">
        <w:rPr>
          <w:sz w:val="24"/>
        </w:rPr>
        <w:t xml:space="preserve"> также</w:t>
      </w:r>
      <w:r w:rsidR="00A008E9" w:rsidRPr="00F771A8">
        <w:rPr>
          <w:sz w:val="24"/>
        </w:rPr>
        <w:t xml:space="preserve"> продемонстрирован</w:t>
      </w:r>
      <w:r w:rsidR="00BA0486" w:rsidRPr="00F771A8">
        <w:rPr>
          <w:sz w:val="24"/>
        </w:rPr>
        <w:t xml:space="preserve"> в производстве</w:t>
      </w:r>
      <w:r w:rsidR="00BA0486" w:rsidRPr="00BA0486">
        <w:rPr>
          <w:sz w:val="24"/>
        </w:rPr>
        <w:t xml:space="preserve"> прочей неметаллической минеральной </w:t>
      </w:r>
      <w:r w:rsidR="00BA0486" w:rsidRPr="00F771A8">
        <w:rPr>
          <w:sz w:val="24"/>
        </w:rPr>
        <w:t>продукции</w:t>
      </w:r>
      <w:r w:rsidR="00635594" w:rsidRPr="00F771A8">
        <w:rPr>
          <w:sz w:val="24"/>
        </w:rPr>
        <w:t xml:space="preserve"> (</w:t>
      </w:r>
      <w:r w:rsidR="0006785D" w:rsidRPr="00F771A8">
        <w:rPr>
          <w:sz w:val="24"/>
        </w:rPr>
        <w:t>16</w:t>
      </w:r>
      <w:r w:rsidR="00635594" w:rsidRPr="00F771A8">
        <w:rPr>
          <w:sz w:val="24"/>
        </w:rPr>
        <w:t>0%)</w:t>
      </w:r>
      <w:r w:rsidR="00BA0486" w:rsidRPr="00F771A8">
        <w:rPr>
          <w:sz w:val="24"/>
        </w:rPr>
        <w:t xml:space="preserve"> и </w:t>
      </w:r>
      <w:r w:rsidR="00635594" w:rsidRPr="00F771A8">
        <w:rPr>
          <w:sz w:val="24"/>
        </w:rPr>
        <w:t xml:space="preserve">в производстве </w:t>
      </w:r>
      <w:r w:rsidR="0006785D" w:rsidRPr="00F771A8">
        <w:rPr>
          <w:sz w:val="24"/>
        </w:rPr>
        <w:t>пищевых продуктов</w:t>
      </w:r>
      <w:r w:rsidR="00635594" w:rsidRPr="00F771A8">
        <w:rPr>
          <w:sz w:val="24"/>
        </w:rPr>
        <w:t xml:space="preserve"> (</w:t>
      </w:r>
      <w:r w:rsidR="0006785D" w:rsidRPr="00F771A8">
        <w:rPr>
          <w:sz w:val="24"/>
        </w:rPr>
        <w:t>15</w:t>
      </w:r>
      <w:r w:rsidR="00BA0486" w:rsidRPr="00F771A8">
        <w:rPr>
          <w:sz w:val="24"/>
        </w:rPr>
        <w:t>0</w:t>
      </w:r>
      <w:r w:rsidR="00635594" w:rsidRPr="00F771A8">
        <w:rPr>
          <w:sz w:val="24"/>
        </w:rPr>
        <w:t>%).</w:t>
      </w:r>
      <w:r w:rsidR="0006785D" w:rsidRPr="00F771A8">
        <w:rPr>
          <w:sz w:val="24"/>
        </w:rPr>
        <w:t xml:space="preserve"> </w:t>
      </w:r>
      <w:r w:rsidR="003A58CF" w:rsidRPr="00F771A8">
        <w:rPr>
          <w:sz w:val="24"/>
        </w:rPr>
        <w:t xml:space="preserve">Негативная динамика </w:t>
      </w:r>
      <w:r w:rsidRPr="00F771A8">
        <w:rPr>
          <w:sz w:val="24"/>
        </w:rPr>
        <w:lastRenderedPageBreak/>
        <w:t>была отмечена в производств</w:t>
      </w:r>
      <w:r w:rsidR="00F771A8">
        <w:rPr>
          <w:sz w:val="24"/>
        </w:rPr>
        <w:t>е</w:t>
      </w:r>
      <w:r w:rsidRPr="00F771A8">
        <w:rPr>
          <w:sz w:val="24"/>
        </w:rPr>
        <w:t xml:space="preserve"> химических веществ и химически</w:t>
      </w:r>
      <w:r w:rsidR="00897D1A">
        <w:rPr>
          <w:sz w:val="24"/>
        </w:rPr>
        <w:t>х</w:t>
      </w:r>
      <w:r w:rsidRPr="00F771A8">
        <w:rPr>
          <w:sz w:val="24"/>
        </w:rPr>
        <w:t xml:space="preserve"> продуктов (</w:t>
      </w:r>
      <w:r w:rsidR="00386F53" w:rsidRPr="00F771A8">
        <w:rPr>
          <w:sz w:val="24"/>
        </w:rPr>
        <w:t xml:space="preserve">89,5%) </w:t>
      </w:r>
      <w:r w:rsidR="00386F53" w:rsidRPr="00F771A8">
        <w:rPr>
          <w:sz w:val="24"/>
        </w:rPr>
        <w:br/>
        <w:t>и в производст</w:t>
      </w:r>
      <w:r w:rsidR="00897D1A">
        <w:rPr>
          <w:sz w:val="24"/>
        </w:rPr>
        <w:t>в</w:t>
      </w:r>
      <w:r w:rsidR="00F771A8">
        <w:rPr>
          <w:sz w:val="24"/>
        </w:rPr>
        <w:t>е</w:t>
      </w:r>
      <w:r w:rsidR="00386F53" w:rsidRPr="00F771A8">
        <w:rPr>
          <w:sz w:val="24"/>
        </w:rPr>
        <w:t xml:space="preserve"> прочих транспортных средств и оборудования (98,4%)</w:t>
      </w:r>
      <w:r w:rsidR="003A58CF" w:rsidRPr="00F771A8">
        <w:rPr>
          <w:sz w:val="24"/>
        </w:rPr>
        <w:t>.</w:t>
      </w:r>
    </w:p>
    <w:p w14:paraId="0DFF284A" w14:textId="77777777" w:rsidR="00B70F00" w:rsidRPr="00244E8D" w:rsidRDefault="00B70F00" w:rsidP="00E24791">
      <w:pPr>
        <w:tabs>
          <w:tab w:val="left" w:pos="993"/>
        </w:tabs>
        <w:spacing w:after="0" w:line="240" w:lineRule="auto"/>
        <w:ind w:firstLine="567"/>
        <w:jc w:val="both"/>
        <w:rPr>
          <w:sz w:val="24"/>
        </w:rPr>
      </w:pPr>
    </w:p>
    <w:p w14:paraId="2F857183" w14:textId="41ABC6C0" w:rsidR="00B70F00" w:rsidRPr="00B50BE7" w:rsidRDefault="00B70F00" w:rsidP="00E24791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C732B0">
        <w:rPr>
          <w:b/>
          <w:sz w:val="24"/>
          <w:szCs w:val="24"/>
        </w:rPr>
        <w:t xml:space="preserve">3. Инвестиции в основной капитал (без субъектов малого предпринимательства) по источникам финансирования </w:t>
      </w:r>
    </w:p>
    <w:p w14:paraId="2D606D9B" w14:textId="1695B265" w:rsidR="00B70F00" w:rsidRPr="00F771A8" w:rsidRDefault="0006453C" w:rsidP="00E24791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70F00" w:rsidRPr="00C732B0">
        <w:rPr>
          <w:sz w:val="24"/>
          <w:szCs w:val="24"/>
        </w:rPr>
        <w:t>труктур</w:t>
      </w:r>
      <w:r>
        <w:rPr>
          <w:sz w:val="24"/>
          <w:szCs w:val="24"/>
        </w:rPr>
        <w:t>а</w:t>
      </w:r>
      <w:r w:rsidR="00B70F00" w:rsidRPr="00C732B0">
        <w:rPr>
          <w:sz w:val="24"/>
          <w:szCs w:val="24"/>
        </w:rPr>
        <w:t xml:space="preserve"> инвестиций в основной капитал по источникам финансирования</w:t>
      </w:r>
      <w:r w:rsidR="00F771A8">
        <w:rPr>
          <w:sz w:val="24"/>
          <w:szCs w:val="24"/>
        </w:rPr>
        <w:t xml:space="preserve"> (</w:t>
      </w:r>
      <w:r w:rsidR="00F771A8" w:rsidRPr="00F771A8">
        <w:rPr>
          <w:sz w:val="24"/>
        </w:rPr>
        <w:t xml:space="preserve">рис. </w:t>
      </w:r>
      <w:r w:rsidR="00F771A8">
        <w:rPr>
          <w:sz w:val="24"/>
        </w:rPr>
        <w:t>4</w:t>
      </w:r>
      <w:r w:rsidR="00F771A8" w:rsidRPr="00F771A8">
        <w:rPr>
          <w:sz w:val="24"/>
        </w:rPr>
        <w:t>)</w:t>
      </w:r>
      <w:r w:rsidR="00B70F00" w:rsidRPr="00C732B0">
        <w:rPr>
          <w:sz w:val="24"/>
          <w:szCs w:val="24"/>
        </w:rPr>
        <w:t xml:space="preserve"> в 202</w:t>
      </w:r>
      <w:r w:rsidR="009C2928">
        <w:rPr>
          <w:sz w:val="24"/>
          <w:szCs w:val="24"/>
        </w:rPr>
        <w:t>3</w:t>
      </w:r>
      <w:r w:rsidR="00B70F00" w:rsidRPr="00C732B0">
        <w:rPr>
          <w:sz w:val="24"/>
          <w:szCs w:val="24"/>
        </w:rPr>
        <w:t xml:space="preserve"> год</w:t>
      </w:r>
      <w:r w:rsidR="00431FB8">
        <w:rPr>
          <w:sz w:val="24"/>
          <w:szCs w:val="24"/>
        </w:rPr>
        <w:t>у</w:t>
      </w:r>
      <w:r>
        <w:rPr>
          <w:sz w:val="24"/>
          <w:szCs w:val="24"/>
        </w:rPr>
        <w:t xml:space="preserve"> претерпела </w:t>
      </w:r>
      <w:r w:rsidR="00431FB8">
        <w:rPr>
          <w:sz w:val="24"/>
          <w:szCs w:val="24"/>
        </w:rPr>
        <w:t>некоторые</w:t>
      </w:r>
      <w:r>
        <w:rPr>
          <w:sz w:val="24"/>
          <w:szCs w:val="24"/>
        </w:rPr>
        <w:t xml:space="preserve"> изменени</w:t>
      </w:r>
      <w:r w:rsidR="00431FB8">
        <w:rPr>
          <w:sz w:val="24"/>
          <w:szCs w:val="24"/>
        </w:rPr>
        <w:t>я</w:t>
      </w:r>
      <w:r>
        <w:rPr>
          <w:sz w:val="24"/>
          <w:szCs w:val="24"/>
        </w:rPr>
        <w:t>:</w:t>
      </w:r>
      <w:r w:rsidR="00B70F00" w:rsidRPr="00C732B0">
        <w:rPr>
          <w:sz w:val="24"/>
          <w:szCs w:val="24"/>
        </w:rPr>
        <w:t xml:space="preserve"> </w:t>
      </w:r>
      <w:r w:rsidR="00431FB8">
        <w:rPr>
          <w:sz w:val="24"/>
          <w:szCs w:val="24"/>
        </w:rPr>
        <w:t xml:space="preserve">увеличилась доля </w:t>
      </w:r>
      <w:r w:rsidR="00B70F00" w:rsidRPr="00C732B0">
        <w:rPr>
          <w:sz w:val="24"/>
          <w:szCs w:val="24"/>
        </w:rPr>
        <w:t>собственны</w:t>
      </w:r>
      <w:r w:rsidR="00431FB8">
        <w:rPr>
          <w:sz w:val="24"/>
          <w:szCs w:val="24"/>
        </w:rPr>
        <w:t>х</w:t>
      </w:r>
      <w:r w:rsidR="00B70F00" w:rsidRPr="00C732B0">
        <w:rPr>
          <w:sz w:val="24"/>
          <w:szCs w:val="24"/>
        </w:rPr>
        <w:t xml:space="preserve"> с</w:t>
      </w:r>
      <w:r w:rsidR="00431FB8">
        <w:rPr>
          <w:sz w:val="24"/>
          <w:szCs w:val="24"/>
        </w:rPr>
        <w:t>редств предприятий</w:t>
      </w:r>
      <w:r w:rsidR="00B70F00" w:rsidRPr="00C732B0">
        <w:rPr>
          <w:sz w:val="24"/>
          <w:szCs w:val="24"/>
        </w:rPr>
        <w:t xml:space="preserve"> </w:t>
      </w:r>
      <w:r w:rsidR="00431FB8">
        <w:rPr>
          <w:sz w:val="24"/>
          <w:szCs w:val="24"/>
        </w:rPr>
        <w:t xml:space="preserve">с </w:t>
      </w:r>
      <w:r w:rsidR="00431FB8" w:rsidRPr="00F771A8">
        <w:rPr>
          <w:sz w:val="24"/>
          <w:szCs w:val="24"/>
        </w:rPr>
        <w:t>5</w:t>
      </w:r>
      <w:r w:rsidR="001D31C2">
        <w:rPr>
          <w:sz w:val="24"/>
          <w:szCs w:val="24"/>
        </w:rPr>
        <w:t>8</w:t>
      </w:r>
      <w:r w:rsidR="00431FB8" w:rsidRPr="00F771A8">
        <w:rPr>
          <w:sz w:val="24"/>
          <w:szCs w:val="24"/>
        </w:rPr>
        <w:t xml:space="preserve">,7% </w:t>
      </w:r>
      <w:r w:rsidR="00431FB8" w:rsidRPr="00F771A8">
        <w:rPr>
          <w:sz w:val="24"/>
          <w:szCs w:val="24"/>
        </w:rPr>
        <w:br/>
        <w:t>в 2022 году до 62,2%</w:t>
      </w:r>
      <w:r w:rsidR="000D042E" w:rsidRPr="00F771A8">
        <w:rPr>
          <w:sz w:val="24"/>
          <w:szCs w:val="24"/>
        </w:rPr>
        <w:t xml:space="preserve"> (571,6 млрд руб.)</w:t>
      </w:r>
      <w:r w:rsidR="00431FB8" w:rsidRPr="00F771A8">
        <w:rPr>
          <w:sz w:val="24"/>
          <w:szCs w:val="24"/>
        </w:rPr>
        <w:t xml:space="preserve"> </w:t>
      </w:r>
      <w:r w:rsidR="000D042E" w:rsidRPr="00F771A8">
        <w:rPr>
          <w:sz w:val="24"/>
          <w:szCs w:val="24"/>
        </w:rPr>
        <w:t>в 2023 году</w:t>
      </w:r>
      <w:r w:rsidR="00B70F00" w:rsidRPr="00F771A8">
        <w:rPr>
          <w:sz w:val="24"/>
          <w:szCs w:val="24"/>
        </w:rPr>
        <w:t xml:space="preserve">, </w:t>
      </w:r>
      <w:r w:rsidR="000D042E" w:rsidRPr="00F771A8">
        <w:rPr>
          <w:sz w:val="24"/>
          <w:szCs w:val="24"/>
        </w:rPr>
        <w:t xml:space="preserve">доля </w:t>
      </w:r>
      <w:r w:rsidR="00B70F00" w:rsidRPr="00F771A8">
        <w:rPr>
          <w:sz w:val="24"/>
          <w:szCs w:val="24"/>
        </w:rPr>
        <w:t>привлеченны</w:t>
      </w:r>
      <w:r w:rsidR="000D042E" w:rsidRPr="00F771A8">
        <w:rPr>
          <w:sz w:val="24"/>
          <w:szCs w:val="24"/>
        </w:rPr>
        <w:t>х средств, соответственно, сократилась</w:t>
      </w:r>
      <w:r w:rsidR="00B70F00" w:rsidRPr="00F771A8">
        <w:rPr>
          <w:sz w:val="24"/>
          <w:szCs w:val="24"/>
        </w:rPr>
        <w:t xml:space="preserve"> – </w:t>
      </w:r>
      <w:r w:rsidR="000D042E" w:rsidRPr="00F771A8">
        <w:rPr>
          <w:sz w:val="24"/>
          <w:szCs w:val="24"/>
        </w:rPr>
        <w:t>с 4</w:t>
      </w:r>
      <w:r w:rsidR="001D31C2">
        <w:rPr>
          <w:sz w:val="24"/>
          <w:szCs w:val="24"/>
        </w:rPr>
        <w:t>1</w:t>
      </w:r>
      <w:r w:rsidR="000D042E" w:rsidRPr="00F771A8">
        <w:rPr>
          <w:sz w:val="24"/>
          <w:szCs w:val="24"/>
        </w:rPr>
        <w:t>,3</w:t>
      </w:r>
      <w:r w:rsidR="00B70F00" w:rsidRPr="00F771A8">
        <w:rPr>
          <w:sz w:val="24"/>
          <w:szCs w:val="24"/>
        </w:rPr>
        <w:t xml:space="preserve">% </w:t>
      </w:r>
      <w:r w:rsidR="000D042E" w:rsidRPr="00F771A8">
        <w:rPr>
          <w:sz w:val="24"/>
          <w:szCs w:val="24"/>
        </w:rPr>
        <w:t>в 2022 году до</w:t>
      </w:r>
      <w:r w:rsidR="00B70F00" w:rsidRPr="00F771A8">
        <w:rPr>
          <w:sz w:val="24"/>
          <w:szCs w:val="24"/>
        </w:rPr>
        <w:t xml:space="preserve"> </w:t>
      </w:r>
      <w:r w:rsidRPr="00F771A8">
        <w:rPr>
          <w:sz w:val="24"/>
          <w:szCs w:val="24"/>
        </w:rPr>
        <w:t>37</w:t>
      </w:r>
      <w:r w:rsidR="000D042E" w:rsidRPr="00F771A8">
        <w:rPr>
          <w:sz w:val="24"/>
          <w:szCs w:val="24"/>
        </w:rPr>
        <w:t>,8</w:t>
      </w:r>
      <w:r w:rsidR="00B70F00" w:rsidRPr="00F771A8">
        <w:rPr>
          <w:sz w:val="24"/>
          <w:szCs w:val="24"/>
        </w:rPr>
        <w:t>%</w:t>
      </w:r>
      <w:r w:rsidR="000D042E" w:rsidRPr="00F771A8">
        <w:rPr>
          <w:sz w:val="24"/>
          <w:szCs w:val="24"/>
        </w:rPr>
        <w:t xml:space="preserve"> (347,3 млрд руб.)</w:t>
      </w:r>
      <w:r w:rsidR="00B70F00" w:rsidRPr="00F771A8">
        <w:rPr>
          <w:sz w:val="24"/>
          <w:szCs w:val="24"/>
        </w:rPr>
        <w:t xml:space="preserve"> </w:t>
      </w:r>
      <w:r w:rsidR="000D042E" w:rsidRPr="00F771A8">
        <w:rPr>
          <w:sz w:val="24"/>
          <w:szCs w:val="24"/>
        </w:rPr>
        <w:t>в 2023 году</w:t>
      </w:r>
      <w:r w:rsidR="00B70F00" w:rsidRPr="00F771A8">
        <w:rPr>
          <w:sz w:val="24"/>
          <w:szCs w:val="24"/>
        </w:rPr>
        <w:t>.</w:t>
      </w:r>
    </w:p>
    <w:p w14:paraId="25C298A9" w14:textId="50BFA726" w:rsidR="00386F53" w:rsidRPr="00386F53" w:rsidRDefault="00386F53" w:rsidP="00386F53">
      <w:pPr>
        <w:spacing w:before="240" w:after="0" w:line="240" w:lineRule="auto"/>
        <w:jc w:val="center"/>
        <w:rPr>
          <w:b/>
          <w:bCs/>
          <w:szCs w:val="24"/>
        </w:rPr>
      </w:pPr>
      <w:r w:rsidRPr="00386F53">
        <w:rPr>
          <w:b/>
          <w:bCs/>
          <w:szCs w:val="24"/>
        </w:rPr>
        <w:t>Рис. 4. Инвестиции в основной капитал (без субъектов малого предпринимательства) по источникам финансирования</w:t>
      </w:r>
      <w:r>
        <w:rPr>
          <w:b/>
          <w:bCs/>
          <w:szCs w:val="24"/>
        </w:rPr>
        <w:t>, %</w:t>
      </w:r>
    </w:p>
    <w:p w14:paraId="0C276E31" w14:textId="5534BDBB" w:rsidR="00EF6602" w:rsidRDefault="00B70F00" w:rsidP="00E24791">
      <w:pPr>
        <w:spacing w:line="240" w:lineRule="auto"/>
        <w:jc w:val="center"/>
        <w:rPr>
          <w:i/>
          <w:sz w:val="20"/>
          <w:szCs w:val="20"/>
        </w:rPr>
      </w:pPr>
      <w:r w:rsidRPr="00D37217">
        <w:rPr>
          <w:noProof/>
          <w:color w:val="808080"/>
          <w:sz w:val="24"/>
          <w:szCs w:val="24"/>
          <w:lang w:eastAsia="ru-RU"/>
        </w:rPr>
        <w:drawing>
          <wp:inline distT="0" distB="0" distL="0" distR="0" wp14:anchorId="7AF8A378" wp14:editId="07E99D18">
            <wp:extent cx="6644640" cy="4819650"/>
            <wp:effectExtent l="0" t="0" r="381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C732B0">
        <w:rPr>
          <w:i/>
          <w:sz w:val="20"/>
          <w:szCs w:val="20"/>
        </w:rPr>
        <w:t xml:space="preserve">Источник: </w:t>
      </w:r>
      <w:proofErr w:type="spellStart"/>
      <w:r w:rsidRPr="00C732B0">
        <w:rPr>
          <w:i/>
          <w:sz w:val="20"/>
          <w:szCs w:val="20"/>
        </w:rPr>
        <w:t>Петростат</w:t>
      </w:r>
      <w:proofErr w:type="spellEnd"/>
    </w:p>
    <w:p w14:paraId="21922302" w14:textId="6EB32BB0" w:rsidR="002A4B2B" w:rsidRDefault="002A4B2B" w:rsidP="002A4B2B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структуре </w:t>
      </w:r>
      <w:r w:rsidR="008C3679">
        <w:rPr>
          <w:sz w:val="24"/>
          <w:szCs w:val="24"/>
        </w:rPr>
        <w:t>привлеченных</w:t>
      </w:r>
      <w:r>
        <w:rPr>
          <w:sz w:val="24"/>
          <w:szCs w:val="24"/>
        </w:rPr>
        <w:t xml:space="preserve"> средств традиционно преобладают средства бюджета, составившие 22,5% в 2023 году (-0,4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по отношению к 2022 году). Доля кредитов банков также снизилась на 0,4</w:t>
      </w:r>
      <w:r w:rsidR="008C3679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</w:t>
      </w:r>
      <w:r w:rsidR="008C3679">
        <w:rPr>
          <w:sz w:val="24"/>
          <w:szCs w:val="24"/>
        </w:rPr>
        <w:t xml:space="preserve"> </w:t>
      </w:r>
      <w:r>
        <w:rPr>
          <w:sz w:val="24"/>
          <w:szCs w:val="24"/>
        </w:rPr>
        <w:t>в 2023 году, выйдя на уровень 8,5%</w:t>
      </w:r>
      <w:r w:rsidRPr="002A4B2B">
        <w:rPr>
          <w:sz w:val="24"/>
          <w:szCs w:val="24"/>
        </w:rPr>
        <w:t xml:space="preserve"> </w:t>
      </w:r>
      <w:r>
        <w:rPr>
          <w:sz w:val="24"/>
          <w:szCs w:val="24"/>
        </w:rPr>
        <w:t>вследствие удорожания заемных средств на фоне повышения ключевой ставки Банком России.</w:t>
      </w:r>
    </w:p>
    <w:p w14:paraId="52D7D74E" w14:textId="1246CC2F" w:rsidR="006F5209" w:rsidRDefault="006F5209" w:rsidP="000D042E">
      <w:pPr>
        <w:spacing w:line="240" w:lineRule="auto"/>
        <w:ind w:firstLine="567"/>
        <w:jc w:val="both"/>
        <w:rPr>
          <w:sz w:val="24"/>
          <w:szCs w:val="24"/>
        </w:rPr>
      </w:pPr>
    </w:p>
    <w:p w14:paraId="1734E92A" w14:textId="63E1AB00" w:rsidR="000D042E" w:rsidRDefault="000D04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DAC48D" w14:textId="4A838EAA" w:rsidR="00B70F00" w:rsidRDefault="00B70F00" w:rsidP="00E24791">
      <w:pPr>
        <w:pStyle w:val="a7"/>
        <w:tabs>
          <w:tab w:val="left" w:pos="993"/>
        </w:tabs>
        <w:spacing w:line="240" w:lineRule="auto"/>
        <w:ind w:left="567"/>
        <w:contextualSpacing w:val="0"/>
        <w:jc w:val="both"/>
        <w:rPr>
          <w:b/>
          <w:sz w:val="24"/>
          <w:szCs w:val="24"/>
        </w:rPr>
      </w:pPr>
      <w:r w:rsidRPr="00C732B0">
        <w:rPr>
          <w:b/>
          <w:sz w:val="24"/>
          <w:szCs w:val="24"/>
        </w:rPr>
        <w:lastRenderedPageBreak/>
        <w:t xml:space="preserve">4. </w:t>
      </w:r>
      <w:r w:rsidRPr="00D33AA1">
        <w:rPr>
          <w:b/>
          <w:sz w:val="24"/>
          <w:szCs w:val="24"/>
        </w:rPr>
        <w:t>Видовая структура инвестиций в основной капитал</w:t>
      </w:r>
    </w:p>
    <w:p w14:paraId="3404F2F7" w14:textId="5B57202E" w:rsidR="000D042E" w:rsidRPr="000D042E" w:rsidRDefault="000D042E" w:rsidP="000D042E">
      <w:pPr>
        <w:spacing w:before="240" w:after="0" w:line="240" w:lineRule="auto"/>
        <w:jc w:val="center"/>
        <w:rPr>
          <w:b/>
          <w:bCs/>
          <w:szCs w:val="24"/>
        </w:rPr>
      </w:pPr>
      <w:r w:rsidRPr="000D042E">
        <w:rPr>
          <w:b/>
          <w:bCs/>
          <w:szCs w:val="24"/>
        </w:rPr>
        <w:t>Рис. 5. Видовая структура инвестиций в основной капитал,</w:t>
      </w:r>
      <w:r>
        <w:rPr>
          <w:b/>
          <w:bCs/>
          <w:szCs w:val="24"/>
        </w:rPr>
        <w:t xml:space="preserve"> %</w:t>
      </w:r>
    </w:p>
    <w:p w14:paraId="1729456B" w14:textId="48255CFA" w:rsidR="00B70F00" w:rsidRPr="00B34C0E" w:rsidRDefault="00312514" w:rsidP="00E24791">
      <w:pPr>
        <w:pStyle w:val="a7"/>
        <w:tabs>
          <w:tab w:val="left" w:pos="993"/>
        </w:tabs>
        <w:spacing w:before="240" w:line="240" w:lineRule="auto"/>
        <w:ind w:left="0"/>
        <w:contextualSpacing w:val="0"/>
        <w:jc w:val="center"/>
        <w:rPr>
          <w:b/>
          <w:sz w:val="24"/>
          <w:szCs w:val="24"/>
        </w:rPr>
      </w:pPr>
      <w:r w:rsidRPr="00D06B68">
        <w:rPr>
          <w:noProof/>
          <w:color w:val="007F7F" w:themeColor="background1" w:themeShade="40"/>
          <w:sz w:val="24"/>
          <w:szCs w:val="24"/>
          <w:lang w:eastAsia="ru-RU"/>
        </w:rPr>
        <w:drawing>
          <wp:inline distT="0" distB="0" distL="0" distR="0" wp14:anchorId="5C6CCF17" wp14:editId="6F791291">
            <wp:extent cx="6480175" cy="19335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558D1C5" w14:textId="595247AB" w:rsidR="00B70F00" w:rsidRPr="00B1500C" w:rsidRDefault="00B70F00" w:rsidP="00E24791">
      <w:pPr>
        <w:spacing w:line="240" w:lineRule="auto"/>
        <w:jc w:val="center"/>
        <w:rPr>
          <w:i/>
          <w:sz w:val="20"/>
          <w:szCs w:val="20"/>
        </w:rPr>
      </w:pPr>
      <w:r w:rsidRPr="00DC30D8">
        <w:rPr>
          <w:i/>
          <w:sz w:val="20"/>
          <w:szCs w:val="20"/>
        </w:rPr>
        <w:t xml:space="preserve">Источник: </w:t>
      </w:r>
      <w:proofErr w:type="spellStart"/>
      <w:r w:rsidRPr="00DC30D8">
        <w:rPr>
          <w:i/>
          <w:sz w:val="20"/>
          <w:szCs w:val="20"/>
        </w:rPr>
        <w:t>Петростат</w:t>
      </w:r>
      <w:proofErr w:type="spellEnd"/>
    </w:p>
    <w:p w14:paraId="64918FB2" w14:textId="7F5CDEFE" w:rsidR="009D18DC" w:rsidRPr="00C575EB" w:rsidRDefault="009D18DC" w:rsidP="00E24791">
      <w:pPr>
        <w:spacing w:after="0" w:line="240" w:lineRule="auto"/>
        <w:ind w:firstLine="567"/>
        <w:jc w:val="both"/>
        <w:rPr>
          <w:sz w:val="24"/>
          <w:szCs w:val="24"/>
        </w:rPr>
      </w:pPr>
      <w:r w:rsidRPr="00C575EB">
        <w:rPr>
          <w:sz w:val="24"/>
          <w:szCs w:val="24"/>
        </w:rPr>
        <w:t>По итогам</w:t>
      </w:r>
      <w:r w:rsidR="00B1500C" w:rsidRPr="00C575EB">
        <w:rPr>
          <w:sz w:val="24"/>
          <w:szCs w:val="24"/>
        </w:rPr>
        <w:t xml:space="preserve"> </w:t>
      </w:r>
      <w:r w:rsidRPr="00C575EB">
        <w:rPr>
          <w:sz w:val="24"/>
          <w:szCs w:val="24"/>
        </w:rPr>
        <w:t xml:space="preserve">2023 года отмечены </w:t>
      </w:r>
      <w:r w:rsidR="00B1500C" w:rsidRPr="00C575EB">
        <w:rPr>
          <w:sz w:val="24"/>
          <w:szCs w:val="24"/>
        </w:rPr>
        <w:t xml:space="preserve">следующие </w:t>
      </w:r>
      <w:r w:rsidRPr="00C575EB">
        <w:rPr>
          <w:sz w:val="24"/>
          <w:szCs w:val="24"/>
        </w:rPr>
        <w:t xml:space="preserve">изменения в видовой структуре инвестиций </w:t>
      </w:r>
      <w:r w:rsidR="00547448" w:rsidRPr="00C575EB">
        <w:rPr>
          <w:sz w:val="24"/>
          <w:szCs w:val="24"/>
        </w:rPr>
        <w:br/>
      </w:r>
      <w:r w:rsidRPr="00C575EB">
        <w:rPr>
          <w:sz w:val="24"/>
          <w:szCs w:val="24"/>
        </w:rPr>
        <w:t>по сравнению с аналогичным периодом 202</w:t>
      </w:r>
      <w:r w:rsidR="00C26FFA" w:rsidRPr="00C575EB">
        <w:rPr>
          <w:sz w:val="24"/>
          <w:szCs w:val="24"/>
        </w:rPr>
        <w:t>2</w:t>
      </w:r>
      <w:r w:rsidRPr="00C575EB">
        <w:rPr>
          <w:sz w:val="24"/>
          <w:szCs w:val="24"/>
        </w:rPr>
        <w:t xml:space="preserve"> года: </w:t>
      </w:r>
    </w:p>
    <w:p w14:paraId="0E7BD616" w14:textId="441BC93F" w:rsidR="00700A07" w:rsidRPr="00C575EB" w:rsidRDefault="00B1500C" w:rsidP="00E24791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C575EB">
        <w:rPr>
          <w:b/>
          <w:color w:val="28A028"/>
          <w:sz w:val="24"/>
        </w:rPr>
        <w:sym w:font="Symbol" w:char="F0AD"/>
      </w:r>
      <w:r w:rsidR="002201AB" w:rsidRPr="00C575EB">
        <w:rPr>
          <w:sz w:val="24"/>
          <w:szCs w:val="24"/>
          <w:lang w:val="en-US"/>
        </w:rPr>
        <w:t> </w:t>
      </w:r>
      <w:r w:rsidR="00700A07" w:rsidRPr="00C575EB">
        <w:rPr>
          <w:sz w:val="24"/>
          <w:szCs w:val="24"/>
        </w:rPr>
        <w:t xml:space="preserve">увеличение доли инвестиций в </w:t>
      </w:r>
      <w:r w:rsidR="003F4D67" w:rsidRPr="00C575EB">
        <w:rPr>
          <w:i/>
          <w:sz w:val="24"/>
          <w:szCs w:val="24"/>
        </w:rPr>
        <w:t>здания (кроме жилых), сооружения, расходы на улучшение земель</w:t>
      </w:r>
      <w:r w:rsidRPr="00C575EB">
        <w:rPr>
          <w:sz w:val="24"/>
          <w:szCs w:val="24"/>
        </w:rPr>
        <w:t xml:space="preserve"> </w:t>
      </w:r>
      <w:r w:rsidR="00700A07" w:rsidRPr="00C575EB">
        <w:rPr>
          <w:sz w:val="24"/>
          <w:szCs w:val="24"/>
        </w:rPr>
        <w:t>(</w:t>
      </w:r>
      <w:r w:rsidR="007F61E2" w:rsidRPr="00C575EB">
        <w:rPr>
          <w:sz w:val="24"/>
          <w:szCs w:val="24"/>
        </w:rPr>
        <w:t>29,5</w:t>
      </w:r>
      <w:r w:rsidR="00700A07" w:rsidRPr="00C575EB">
        <w:rPr>
          <w:sz w:val="24"/>
          <w:szCs w:val="24"/>
        </w:rPr>
        <w:t>%</w:t>
      </w:r>
      <w:r w:rsidRPr="00C575EB">
        <w:rPr>
          <w:sz w:val="24"/>
          <w:szCs w:val="24"/>
        </w:rPr>
        <w:t xml:space="preserve"> </w:t>
      </w:r>
      <w:r w:rsidR="00700A07" w:rsidRPr="00C575EB">
        <w:rPr>
          <w:sz w:val="24"/>
          <w:szCs w:val="24"/>
        </w:rPr>
        <w:t xml:space="preserve">против </w:t>
      </w:r>
      <w:r w:rsidR="007F61E2" w:rsidRPr="00C575EB">
        <w:rPr>
          <w:sz w:val="24"/>
          <w:szCs w:val="24"/>
        </w:rPr>
        <w:t>27,8</w:t>
      </w:r>
      <w:r w:rsidR="00700A07" w:rsidRPr="00C575EB">
        <w:rPr>
          <w:sz w:val="24"/>
          <w:szCs w:val="24"/>
        </w:rPr>
        <w:t>%);</w:t>
      </w:r>
    </w:p>
    <w:p w14:paraId="6B7D5BA2" w14:textId="4CD4049F" w:rsidR="00700A07" w:rsidRPr="00C575EB" w:rsidRDefault="00B1500C" w:rsidP="00E24791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C575EB">
        <w:rPr>
          <w:b/>
          <w:color w:val="28A028"/>
          <w:sz w:val="24"/>
        </w:rPr>
        <w:sym w:font="Symbol" w:char="F0AD"/>
      </w:r>
      <w:r w:rsidR="002201AB" w:rsidRPr="00C575EB">
        <w:rPr>
          <w:color w:val="28A028"/>
          <w:sz w:val="24"/>
          <w:lang w:val="en-US"/>
        </w:rPr>
        <w:t> </w:t>
      </w:r>
      <w:r w:rsidR="00700A07" w:rsidRPr="00C575EB">
        <w:rPr>
          <w:sz w:val="24"/>
          <w:szCs w:val="24"/>
        </w:rPr>
        <w:t xml:space="preserve">увеличение доли инвестиций в </w:t>
      </w:r>
      <w:r w:rsidR="00700A07" w:rsidRPr="00C575EB">
        <w:rPr>
          <w:i/>
          <w:sz w:val="24"/>
          <w:szCs w:val="24"/>
        </w:rPr>
        <w:t>объекты интеллектуальной собственности</w:t>
      </w:r>
      <w:r w:rsidR="00700A07" w:rsidRPr="00C575EB">
        <w:rPr>
          <w:sz w:val="24"/>
          <w:szCs w:val="24"/>
        </w:rPr>
        <w:t xml:space="preserve"> (</w:t>
      </w:r>
      <w:r w:rsidR="007F61E2" w:rsidRPr="00C575EB">
        <w:rPr>
          <w:sz w:val="24"/>
          <w:szCs w:val="24"/>
        </w:rPr>
        <w:t>8,2</w:t>
      </w:r>
      <w:r w:rsidR="00700A07" w:rsidRPr="00C575EB">
        <w:rPr>
          <w:sz w:val="24"/>
          <w:szCs w:val="24"/>
        </w:rPr>
        <w:t>%</w:t>
      </w:r>
      <w:r w:rsidRPr="00C575EB">
        <w:rPr>
          <w:sz w:val="24"/>
          <w:szCs w:val="24"/>
        </w:rPr>
        <w:t xml:space="preserve"> </w:t>
      </w:r>
      <w:r w:rsidR="00700A07" w:rsidRPr="00C575EB">
        <w:rPr>
          <w:sz w:val="24"/>
          <w:szCs w:val="24"/>
        </w:rPr>
        <w:t xml:space="preserve">против </w:t>
      </w:r>
      <w:r w:rsidR="007F61E2" w:rsidRPr="00C575EB">
        <w:rPr>
          <w:sz w:val="24"/>
          <w:szCs w:val="24"/>
        </w:rPr>
        <w:t>7,4</w:t>
      </w:r>
      <w:r w:rsidR="00700A07" w:rsidRPr="00C575EB">
        <w:rPr>
          <w:sz w:val="24"/>
          <w:szCs w:val="24"/>
        </w:rPr>
        <w:t>%);</w:t>
      </w:r>
    </w:p>
    <w:p w14:paraId="022B597F" w14:textId="66A4D593" w:rsidR="00700A07" w:rsidRPr="00C575EB" w:rsidRDefault="00B1500C" w:rsidP="00E24791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C575EB">
        <w:rPr>
          <w:b/>
          <w:color w:val="C00000"/>
          <w:sz w:val="24"/>
        </w:rPr>
        <w:sym w:font="Symbol" w:char="F0AF"/>
      </w:r>
      <w:r w:rsidRPr="00C575EB">
        <w:rPr>
          <w:color w:val="C00000"/>
          <w:sz w:val="24"/>
        </w:rPr>
        <w:t xml:space="preserve"> </w:t>
      </w:r>
      <w:r w:rsidR="00700A07" w:rsidRPr="00C575EB">
        <w:rPr>
          <w:sz w:val="24"/>
          <w:szCs w:val="24"/>
        </w:rPr>
        <w:t xml:space="preserve">снижение доли </w:t>
      </w:r>
      <w:r w:rsidR="00AC6045" w:rsidRPr="00C575EB">
        <w:rPr>
          <w:sz w:val="24"/>
          <w:szCs w:val="24"/>
        </w:rPr>
        <w:t>инвестиций в</w:t>
      </w:r>
      <w:r w:rsidRPr="00C575EB">
        <w:rPr>
          <w:sz w:val="24"/>
          <w:szCs w:val="24"/>
        </w:rPr>
        <w:t xml:space="preserve"> </w:t>
      </w:r>
      <w:r w:rsidR="007F61E2" w:rsidRPr="00C575EB">
        <w:rPr>
          <w:i/>
          <w:sz w:val="24"/>
          <w:szCs w:val="24"/>
        </w:rPr>
        <w:t>машины и оборудование</w:t>
      </w:r>
      <w:r w:rsidR="00700A07" w:rsidRPr="00C575EB">
        <w:rPr>
          <w:sz w:val="24"/>
          <w:szCs w:val="24"/>
        </w:rPr>
        <w:t xml:space="preserve"> (</w:t>
      </w:r>
      <w:r w:rsidR="007F61E2" w:rsidRPr="00C575EB">
        <w:rPr>
          <w:sz w:val="24"/>
          <w:szCs w:val="24"/>
        </w:rPr>
        <w:t>53,6</w:t>
      </w:r>
      <w:r w:rsidR="00700A07" w:rsidRPr="00C575EB">
        <w:rPr>
          <w:sz w:val="24"/>
          <w:szCs w:val="24"/>
        </w:rPr>
        <w:t>% </w:t>
      </w:r>
      <w:r w:rsidRPr="00C575EB">
        <w:rPr>
          <w:sz w:val="24"/>
          <w:szCs w:val="24"/>
        </w:rPr>
        <w:t>против</w:t>
      </w:r>
      <w:r w:rsidR="00700A07" w:rsidRPr="00C575EB">
        <w:rPr>
          <w:sz w:val="24"/>
          <w:szCs w:val="24"/>
        </w:rPr>
        <w:t xml:space="preserve"> </w:t>
      </w:r>
      <w:r w:rsidR="007F61E2" w:rsidRPr="00C575EB">
        <w:rPr>
          <w:sz w:val="24"/>
          <w:szCs w:val="24"/>
        </w:rPr>
        <w:t>53,3</w:t>
      </w:r>
      <w:r w:rsidR="00700A07" w:rsidRPr="00C575EB">
        <w:rPr>
          <w:sz w:val="24"/>
          <w:szCs w:val="24"/>
        </w:rPr>
        <w:t>%);</w:t>
      </w:r>
    </w:p>
    <w:p w14:paraId="3F42954D" w14:textId="24E5D042" w:rsidR="009D18DC" w:rsidRPr="00C575EB" w:rsidRDefault="00032C3F" w:rsidP="00E2479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C575EB">
        <w:rPr>
          <w:b/>
          <w:color w:val="C00000"/>
          <w:sz w:val="24"/>
        </w:rPr>
        <w:sym w:font="Symbol" w:char="F0AF"/>
      </w:r>
      <w:r w:rsidR="002201AB" w:rsidRPr="00C575EB">
        <w:rPr>
          <w:color w:val="C00000"/>
          <w:sz w:val="24"/>
          <w:lang w:val="en-US"/>
        </w:rPr>
        <w:t> </w:t>
      </w:r>
      <w:r w:rsidR="00700A07" w:rsidRPr="00C575EB">
        <w:rPr>
          <w:sz w:val="24"/>
          <w:szCs w:val="24"/>
        </w:rPr>
        <w:t>снижение</w:t>
      </w:r>
      <w:r w:rsidR="009D18DC" w:rsidRPr="00C575EB">
        <w:rPr>
          <w:sz w:val="24"/>
          <w:szCs w:val="24"/>
        </w:rPr>
        <w:t xml:space="preserve"> доли инвестиций в </w:t>
      </w:r>
      <w:r w:rsidR="007F61E2" w:rsidRPr="00C575EB">
        <w:rPr>
          <w:sz w:val="24"/>
          <w:szCs w:val="24"/>
        </w:rPr>
        <w:t xml:space="preserve">жилые </w:t>
      </w:r>
      <w:r w:rsidR="009D18DC" w:rsidRPr="00C575EB">
        <w:rPr>
          <w:i/>
          <w:sz w:val="24"/>
          <w:szCs w:val="24"/>
        </w:rPr>
        <w:t xml:space="preserve">здания </w:t>
      </w:r>
      <w:r w:rsidR="007F61E2" w:rsidRPr="00C575EB">
        <w:rPr>
          <w:i/>
          <w:sz w:val="24"/>
          <w:szCs w:val="24"/>
        </w:rPr>
        <w:t>и помещения</w:t>
      </w:r>
      <w:r w:rsidR="009D18DC" w:rsidRPr="00C575EB">
        <w:rPr>
          <w:sz w:val="24"/>
          <w:szCs w:val="24"/>
        </w:rPr>
        <w:t xml:space="preserve"> (</w:t>
      </w:r>
      <w:r w:rsidR="007F61E2" w:rsidRPr="00C575EB">
        <w:rPr>
          <w:sz w:val="24"/>
          <w:szCs w:val="24"/>
        </w:rPr>
        <w:t>7,3</w:t>
      </w:r>
      <w:r w:rsidR="009D18DC" w:rsidRPr="00C575EB">
        <w:rPr>
          <w:sz w:val="24"/>
          <w:szCs w:val="24"/>
        </w:rPr>
        <w:t xml:space="preserve">% против </w:t>
      </w:r>
      <w:r w:rsidR="007F61E2" w:rsidRPr="00C575EB">
        <w:rPr>
          <w:sz w:val="24"/>
          <w:szCs w:val="24"/>
        </w:rPr>
        <w:t>8,</w:t>
      </w:r>
      <w:r w:rsidR="00700A07" w:rsidRPr="00C575EB">
        <w:rPr>
          <w:sz w:val="24"/>
          <w:szCs w:val="24"/>
        </w:rPr>
        <w:t>9</w:t>
      </w:r>
      <w:r w:rsidR="009D18DC" w:rsidRPr="00C575EB">
        <w:rPr>
          <w:sz w:val="24"/>
          <w:szCs w:val="24"/>
        </w:rPr>
        <w:t>%</w:t>
      </w:r>
      <w:r w:rsidR="007F61E2" w:rsidRPr="00C575EB">
        <w:rPr>
          <w:sz w:val="24"/>
          <w:szCs w:val="24"/>
        </w:rPr>
        <w:t>);</w:t>
      </w:r>
    </w:p>
    <w:p w14:paraId="486AF2E6" w14:textId="574F11DF" w:rsidR="007F61E2" w:rsidRPr="00C575EB" w:rsidRDefault="007F61E2" w:rsidP="007F61E2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contextualSpacing w:val="0"/>
        <w:jc w:val="both"/>
        <w:rPr>
          <w:sz w:val="24"/>
          <w:szCs w:val="24"/>
        </w:rPr>
      </w:pPr>
      <w:r w:rsidRPr="00C575EB">
        <w:rPr>
          <w:b/>
          <w:color w:val="C00000"/>
          <w:sz w:val="24"/>
        </w:rPr>
        <w:sym w:font="Symbol" w:char="F0AF"/>
      </w:r>
      <w:r w:rsidRPr="00C575EB">
        <w:rPr>
          <w:color w:val="C00000"/>
          <w:sz w:val="24"/>
        </w:rPr>
        <w:t xml:space="preserve"> </w:t>
      </w:r>
      <w:r w:rsidRPr="00C575EB">
        <w:rPr>
          <w:sz w:val="24"/>
          <w:szCs w:val="24"/>
        </w:rPr>
        <w:t xml:space="preserve">снижение доли </w:t>
      </w:r>
      <w:r w:rsidRPr="00C575EB">
        <w:rPr>
          <w:i/>
          <w:sz w:val="24"/>
          <w:szCs w:val="24"/>
        </w:rPr>
        <w:t>прочих инвестиций</w:t>
      </w:r>
      <w:r w:rsidRPr="00C575EB">
        <w:rPr>
          <w:sz w:val="24"/>
          <w:szCs w:val="24"/>
        </w:rPr>
        <w:t xml:space="preserve"> (1,7% против 2,3%).</w:t>
      </w:r>
    </w:p>
    <w:p w14:paraId="321ED9AD" w14:textId="77777777" w:rsidR="009D18DC" w:rsidRPr="002929A2" w:rsidRDefault="009D18DC" w:rsidP="00E24791">
      <w:pPr>
        <w:spacing w:after="0" w:line="240" w:lineRule="auto"/>
        <w:rPr>
          <w:i/>
          <w:sz w:val="16"/>
          <w:szCs w:val="16"/>
        </w:rPr>
      </w:pPr>
    </w:p>
    <w:p w14:paraId="281C7AFA" w14:textId="66B0BF14" w:rsidR="00B50BE7" w:rsidRPr="00BC52D1" w:rsidRDefault="00B70F00" w:rsidP="00E24791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EF6602">
        <w:rPr>
          <w:b/>
          <w:sz w:val="24"/>
          <w:szCs w:val="24"/>
        </w:rPr>
        <w:t>5. Сравнение с регионами</w:t>
      </w:r>
      <w:r w:rsidR="00B50BE7" w:rsidRPr="00B50BE7">
        <w:rPr>
          <w:b/>
          <w:sz w:val="24"/>
          <w:szCs w:val="24"/>
        </w:rPr>
        <w:t>-</w:t>
      </w:r>
      <w:r w:rsidRPr="00EF6602">
        <w:rPr>
          <w:b/>
          <w:sz w:val="24"/>
          <w:szCs w:val="24"/>
        </w:rPr>
        <w:t>«лидерами»</w:t>
      </w:r>
      <w:r w:rsidR="00032C3F" w:rsidRPr="00EF6602">
        <w:rPr>
          <w:b/>
          <w:sz w:val="24"/>
          <w:szCs w:val="24"/>
        </w:rPr>
        <w:t xml:space="preserve"> </w:t>
      </w:r>
      <w:r w:rsidR="00491F12" w:rsidRPr="00EF6602">
        <w:rPr>
          <w:b/>
          <w:sz w:val="24"/>
          <w:szCs w:val="24"/>
        </w:rPr>
        <w:t xml:space="preserve">в </w:t>
      </w:r>
      <w:r w:rsidRPr="00EF6602">
        <w:rPr>
          <w:b/>
          <w:sz w:val="24"/>
          <w:szCs w:val="24"/>
        </w:rPr>
        <w:t>202</w:t>
      </w:r>
      <w:r w:rsidR="009C2928" w:rsidRPr="00EF6602">
        <w:rPr>
          <w:b/>
          <w:sz w:val="24"/>
          <w:szCs w:val="24"/>
        </w:rPr>
        <w:t>3</w:t>
      </w:r>
      <w:r w:rsidRPr="00EF6602">
        <w:rPr>
          <w:b/>
          <w:sz w:val="24"/>
          <w:szCs w:val="24"/>
        </w:rPr>
        <w:t xml:space="preserve"> год</w:t>
      </w:r>
      <w:r w:rsidR="002452D5">
        <w:rPr>
          <w:b/>
          <w:sz w:val="24"/>
          <w:szCs w:val="24"/>
        </w:rPr>
        <w:t>у</w:t>
      </w:r>
    </w:p>
    <w:tbl>
      <w:tblPr>
        <w:tblStyle w:val="a8"/>
        <w:tblW w:w="9570" w:type="dxa"/>
        <w:jc w:val="center"/>
        <w:tblBorders>
          <w:top w:val="single" w:sz="4" w:space="0" w:color="384594" w:themeColor="accent5" w:themeShade="BF"/>
          <w:left w:val="single" w:sz="4" w:space="0" w:color="384594" w:themeColor="accent5" w:themeShade="BF"/>
          <w:bottom w:val="single" w:sz="4" w:space="0" w:color="384594" w:themeColor="accent5" w:themeShade="BF"/>
          <w:right w:val="single" w:sz="4" w:space="0" w:color="384594" w:themeColor="accent5" w:themeShade="BF"/>
          <w:insideH w:val="single" w:sz="4" w:space="0" w:color="384594" w:themeColor="accent5" w:themeShade="BF"/>
          <w:insideV w:val="single" w:sz="4" w:space="0" w:color="384594" w:themeColor="accent5" w:themeShade="BF"/>
        </w:tblBorders>
        <w:tblLook w:val="04A0" w:firstRow="1" w:lastRow="0" w:firstColumn="1" w:lastColumn="0" w:noHBand="0" w:noVBand="1"/>
      </w:tblPr>
      <w:tblGrid>
        <w:gridCol w:w="4111"/>
        <w:gridCol w:w="1980"/>
        <w:gridCol w:w="1984"/>
        <w:gridCol w:w="1495"/>
      </w:tblGrid>
      <w:tr w:rsidR="00B70F00" w:rsidRPr="00D60B06" w14:paraId="092F3830" w14:textId="77777777" w:rsidTr="00EF6602">
        <w:trPr>
          <w:trHeight w:val="1206"/>
          <w:tblHeader/>
          <w:jc w:val="center"/>
        </w:trPr>
        <w:tc>
          <w:tcPr>
            <w:tcW w:w="4111" w:type="dxa"/>
            <w:shd w:val="clear" w:color="auto" w:fill="ECECEC"/>
            <w:vAlign w:val="center"/>
            <w:hideMark/>
          </w:tcPr>
          <w:p w14:paraId="0BB4572D" w14:textId="77777777" w:rsidR="00B70F00" w:rsidRPr="00A41529" w:rsidRDefault="00B70F00" w:rsidP="00E24791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4152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980" w:type="dxa"/>
            <w:shd w:val="clear" w:color="auto" w:fill="ECECEC"/>
            <w:noWrap/>
            <w:vAlign w:val="center"/>
            <w:hideMark/>
          </w:tcPr>
          <w:p w14:paraId="58F8E34E" w14:textId="77777777" w:rsidR="002929A2" w:rsidRDefault="002929A2" w:rsidP="00E24791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B70F00" w:rsidRPr="00A4152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бъем </w:t>
            </w:r>
            <w:r w:rsidR="00B70F0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инвестиций в основной капитал</w:t>
            </w:r>
            <w:r w:rsidR="00B70F00" w:rsidRPr="00A4152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0810E79" w14:textId="14D3A36B" w:rsidR="00B70F00" w:rsidRPr="00A41529" w:rsidRDefault="00B70F00" w:rsidP="00EB31D9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4152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(мл</w:t>
            </w:r>
            <w:r w:rsidR="00EB31D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рд</w:t>
            </w:r>
            <w:r w:rsidRPr="00A4152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руб.)</w:t>
            </w:r>
          </w:p>
        </w:tc>
        <w:tc>
          <w:tcPr>
            <w:tcW w:w="1984" w:type="dxa"/>
            <w:shd w:val="clear" w:color="auto" w:fill="ECECEC"/>
            <w:vAlign w:val="center"/>
            <w:hideMark/>
          </w:tcPr>
          <w:p w14:paraId="1215097B" w14:textId="3A28C206" w:rsidR="00B70F00" w:rsidRPr="00A41529" w:rsidRDefault="00DD673B" w:rsidP="00E24791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ИФО</w:t>
            </w:r>
          </w:p>
        </w:tc>
        <w:tc>
          <w:tcPr>
            <w:tcW w:w="1495" w:type="dxa"/>
            <w:shd w:val="clear" w:color="auto" w:fill="ECECEC"/>
            <w:noWrap/>
            <w:vAlign w:val="center"/>
            <w:hideMark/>
          </w:tcPr>
          <w:p w14:paraId="4C197F23" w14:textId="3F1F76DA" w:rsidR="00B70F00" w:rsidRPr="00A41529" w:rsidRDefault="00B70F00" w:rsidP="00E24791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4152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Место в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A4152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B50BE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</w:t>
            </w:r>
          </w:p>
        </w:tc>
      </w:tr>
      <w:tr w:rsidR="00B70F00" w:rsidRPr="00D60B06" w14:paraId="5C5C9CAD" w14:textId="77777777" w:rsidTr="00EF6602">
        <w:trPr>
          <w:trHeight w:val="454"/>
          <w:jc w:val="center"/>
        </w:trPr>
        <w:tc>
          <w:tcPr>
            <w:tcW w:w="4111" w:type="dxa"/>
            <w:vAlign w:val="center"/>
            <w:hideMark/>
          </w:tcPr>
          <w:p w14:paraId="738B2E13" w14:textId="77777777" w:rsidR="00B70F00" w:rsidRPr="00A41529" w:rsidRDefault="00B70F00" w:rsidP="00E247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1529">
              <w:rPr>
                <w:rFonts w:eastAsia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980" w:type="dxa"/>
            <w:noWrap/>
            <w:vAlign w:val="center"/>
            <w:hideMark/>
          </w:tcPr>
          <w:p w14:paraId="3D738849" w14:textId="698040C0" w:rsidR="00B70F00" w:rsidRPr="004620F4" w:rsidRDefault="00EB31D9" w:rsidP="00EB31D9">
            <w:pPr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B31D9"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EB31D9">
              <w:rPr>
                <w:rFonts w:eastAsia="Times New Roman" w:cs="Times New Roman"/>
                <w:sz w:val="24"/>
                <w:szCs w:val="24"/>
                <w:lang w:val="en-US" w:eastAsia="ru-RU"/>
              </w:rPr>
              <w:t>757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EB31D9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4" w:type="dxa"/>
            <w:noWrap/>
            <w:vAlign w:val="center"/>
            <w:hideMark/>
          </w:tcPr>
          <w:p w14:paraId="14403C41" w14:textId="0E239231" w:rsidR="00B70F00" w:rsidRPr="00A41529" w:rsidRDefault="00DD673B" w:rsidP="00DD673B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103,8</w:t>
            </w:r>
            <w:r w:rsidR="00B70F00" w:rsidRPr="00A415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4620F4" w:rsidRPr="00A41529">
              <w:rPr>
                <w:b/>
                <w:color w:val="00B050"/>
                <w:sz w:val="24"/>
              </w:rPr>
              <w:sym w:font="Symbol" w:char="F0AD"/>
            </w:r>
          </w:p>
        </w:tc>
        <w:tc>
          <w:tcPr>
            <w:tcW w:w="1495" w:type="dxa"/>
            <w:noWrap/>
            <w:vAlign w:val="center"/>
            <w:hideMark/>
          </w:tcPr>
          <w:p w14:paraId="7F543405" w14:textId="77777777" w:rsidR="00B70F00" w:rsidRPr="00A41529" w:rsidRDefault="00B70F00" w:rsidP="00E2479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4152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70F00" w:rsidRPr="00D60B06" w14:paraId="7774BFAB" w14:textId="77777777" w:rsidTr="00EF6602">
        <w:trPr>
          <w:trHeight w:val="454"/>
          <w:jc w:val="center"/>
        </w:trPr>
        <w:tc>
          <w:tcPr>
            <w:tcW w:w="4111" w:type="dxa"/>
            <w:vAlign w:val="center"/>
          </w:tcPr>
          <w:p w14:paraId="67F3723C" w14:textId="401F084F" w:rsidR="00B70F00" w:rsidRPr="00A41529" w:rsidRDefault="00EB31D9" w:rsidP="00E247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7660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980" w:type="dxa"/>
            <w:noWrap/>
            <w:vAlign w:val="center"/>
          </w:tcPr>
          <w:p w14:paraId="01725C64" w14:textId="168CE583" w:rsidR="00B70F00" w:rsidRPr="00307660" w:rsidRDefault="00EB31D9" w:rsidP="00E24791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1D9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EB31D9">
              <w:rPr>
                <w:rFonts w:eastAsia="Times New Roman" w:cs="Times New Roman"/>
                <w:sz w:val="24"/>
                <w:szCs w:val="24"/>
                <w:lang w:val="en-US" w:eastAsia="ru-RU"/>
              </w:rPr>
              <w:t>593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EB31D9"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14:paraId="1B4F0DB8" w14:textId="32F9A45D" w:rsidR="00B70F00" w:rsidRPr="00A41529" w:rsidRDefault="001C4F8A" w:rsidP="00DD673B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152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DD673B">
              <w:rPr>
                <w:rFonts w:eastAsia="Times New Roman" w:cs="Times New Roman"/>
                <w:sz w:val="24"/>
                <w:szCs w:val="24"/>
                <w:lang w:eastAsia="ru-RU"/>
              </w:rPr>
              <w:t>06,2</w:t>
            </w:r>
            <w:r w:rsidRPr="00A415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% </w:t>
            </w:r>
            <w:r w:rsidRPr="00A41529">
              <w:rPr>
                <w:b/>
                <w:color w:val="00B050"/>
                <w:sz w:val="24"/>
              </w:rPr>
              <w:sym w:font="Symbol" w:char="F0AD"/>
            </w:r>
          </w:p>
        </w:tc>
        <w:tc>
          <w:tcPr>
            <w:tcW w:w="1495" w:type="dxa"/>
            <w:noWrap/>
            <w:vAlign w:val="center"/>
          </w:tcPr>
          <w:p w14:paraId="42CE17D3" w14:textId="77777777" w:rsidR="00B70F00" w:rsidRPr="00A41529" w:rsidRDefault="00B70F00" w:rsidP="00E2479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4152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B31D9" w:rsidRPr="00D60B06" w14:paraId="33209396" w14:textId="77777777" w:rsidTr="00EF6602">
        <w:trPr>
          <w:trHeight w:val="454"/>
          <w:jc w:val="center"/>
        </w:trPr>
        <w:tc>
          <w:tcPr>
            <w:tcW w:w="4111" w:type="dxa"/>
            <w:vAlign w:val="center"/>
          </w:tcPr>
          <w:p w14:paraId="54EA0CB0" w14:textId="74E42A37" w:rsidR="00EB31D9" w:rsidRPr="00A41529" w:rsidRDefault="00EB31D9" w:rsidP="00EB31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1529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1980" w:type="dxa"/>
            <w:noWrap/>
            <w:vAlign w:val="center"/>
          </w:tcPr>
          <w:p w14:paraId="31F5A8A9" w14:textId="601E00BB" w:rsidR="00EB31D9" w:rsidRPr="004620F4" w:rsidRDefault="00EB31D9" w:rsidP="00EB31D9">
            <w:pPr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B31D9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EB31D9">
              <w:rPr>
                <w:rFonts w:eastAsia="Times New Roman" w:cs="Times New Roman"/>
                <w:sz w:val="24"/>
                <w:szCs w:val="24"/>
                <w:lang w:val="en-US" w:eastAsia="ru-RU"/>
              </w:rPr>
              <w:t>552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EB31D9"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84" w:type="dxa"/>
            <w:noWrap/>
            <w:vAlign w:val="center"/>
          </w:tcPr>
          <w:p w14:paraId="38542460" w14:textId="5DFA0A21" w:rsidR="00EB31D9" w:rsidRPr="00A41529" w:rsidRDefault="00EB31D9" w:rsidP="00DD673B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DD673B">
              <w:rPr>
                <w:rFonts w:eastAsia="Times New Roman" w:cs="Times New Roman"/>
                <w:sz w:val="24"/>
                <w:szCs w:val="24"/>
                <w:lang w:eastAsia="ru-RU"/>
              </w:rPr>
              <w:t>07,2</w:t>
            </w:r>
            <w:r w:rsidRPr="00A415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% </w:t>
            </w:r>
            <w:r w:rsidRPr="00A41529">
              <w:rPr>
                <w:b/>
                <w:color w:val="00B050"/>
                <w:sz w:val="24"/>
              </w:rPr>
              <w:sym w:font="Symbol" w:char="F0AD"/>
            </w:r>
          </w:p>
        </w:tc>
        <w:tc>
          <w:tcPr>
            <w:tcW w:w="1495" w:type="dxa"/>
            <w:noWrap/>
            <w:vAlign w:val="center"/>
          </w:tcPr>
          <w:p w14:paraId="0F044D92" w14:textId="77777777" w:rsidR="00EB31D9" w:rsidRPr="00A41529" w:rsidRDefault="00EB31D9" w:rsidP="00EB31D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4152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B31D9" w:rsidRPr="00D60B06" w14:paraId="367F13A1" w14:textId="77777777" w:rsidTr="00EF6602">
        <w:trPr>
          <w:trHeight w:val="454"/>
          <w:jc w:val="center"/>
        </w:trPr>
        <w:tc>
          <w:tcPr>
            <w:tcW w:w="4111" w:type="dxa"/>
            <w:vAlign w:val="center"/>
            <w:hideMark/>
          </w:tcPr>
          <w:p w14:paraId="03CAA827" w14:textId="147D8ABE" w:rsidR="00EB31D9" w:rsidRPr="00307660" w:rsidRDefault="00EB31D9" w:rsidP="00EB31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980" w:type="dxa"/>
            <w:noWrap/>
            <w:vAlign w:val="center"/>
            <w:hideMark/>
          </w:tcPr>
          <w:p w14:paraId="10A19EA9" w14:textId="3FA36EB9" w:rsidR="00EB31D9" w:rsidRPr="004620F4" w:rsidRDefault="00EB31D9" w:rsidP="00EB31D9">
            <w:pPr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B31D9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EB31D9">
              <w:rPr>
                <w:rFonts w:eastAsia="Times New Roman" w:cs="Times New Roman"/>
                <w:sz w:val="24"/>
                <w:szCs w:val="24"/>
                <w:lang w:val="en-US" w:eastAsia="ru-RU"/>
              </w:rPr>
              <w:t>474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EB31D9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4" w:type="dxa"/>
            <w:noWrap/>
            <w:vAlign w:val="center"/>
            <w:hideMark/>
          </w:tcPr>
          <w:p w14:paraId="23507F9B" w14:textId="07D2297B" w:rsidR="00EB31D9" w:rsidRPr="00A41529" w:rsidRDefault="00DD673B" w:rsidP="00EB31D9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97,1</w:t>
            </w:r>
            <w:r w:rsidR="00EB31D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% </w:t>
            </w:r>
            <w:r w:rsidRPr="00C732B0">
              <w:rPr>
                <w:b/>
                <w:color w:val="C00000"/>
                <w:sz w:val="24"/>
              </w:rPr>
              <w:sym w:font="Symbol" w:char="F0AF"/>
            </w:r>
          </w:p>
        </w:tc>
        <w:tc>
          <w:tcPr>
            <w:tcW w:w="1495" w:type="dxa"/>
            <w:noWrap/>
            <w:vAlign w:val="center"/>
            <w:hideMark/>
          </w:tcPr>
          <w:p w14:paraId="623C185A" w14:textId="77777777" w:rsidR="00EB31D9" w:rsidRPr="00A41529" w:rsidRDefault="00EB31D9" w:rsidP="00EB31D9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4152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B31D9" w:rsidRPr="00D60B06" w14:paraId="04F0CB8E" w14:textId="77777777" w:rsidTr="00EF6602">
        <w:trPr>
          <w:trHeight w:val="454"/>
          <w:jc w:val="center"/>
        </w:trPr>
        <w:tc>
          <w:tcPr>
            <w:tcW w:w="4111" w:type="dxa"/>
            <w:shd w:val="clear" w:color="auto" w:fill="E8CCF2" w:themeFill="accent3" w:themeFillTint="66"/>
            <w:vAlign w:val="center"/>
            <w:hideMark/>
          </w:tcPr>
          <w:p w14:paraId="4420E6A6" w14:textId="77777777" w:rsidR="00EB31D9" w:rsidRPr="00AD5E28" w:rsidRDefault="00EB31D9" w:rsidP="00EB31D9">
            <w:pPr>
              <w:rPr>
                <w:rFonts w:eastAsia="Times New Roman" w:cs="Times New Roman"/>
                <w:color w:val="292748" w:themeColor="text1"/>
                <w:sz w:val="24"/>
                <w:szCs w:val="24"/>
                <w:lang w:eastAsia="ru-RU"/>
              </w:rPr>
            </w:pPr>
            <w:r w:rsidRPr="00CF49C9">
              <w:rPr>
                <w:rFonts w:eastAsia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980" w:type="dxa"/>
            <w:shd w:val="clear" w:color="auto" w:fill="E8CCF2" w:themeFill="accent3" w:themeFillTint="66"/>
            <w:noWrap/>
            <w:vAlign w:val="center"/>
            <w:hideMark/>
          </w:tcPr>
          <w:p w14:paraId="3D3D3C01" w14:textId="552429CE" w:rsidR="00EB31D9" w:rsidRPr="00EB31D9" w:rsidRDefault="00EB31D9" w:rsidP="00EB31D9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31D9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31D9">
              <w:rPr>
                <w:rFonts w:eastAsia="Times New Roman" w:cs="Times New Roman"/>
                <w:sz w:val="24"/>
                <w:szCs w:val="24"/>
                <w:lang w:val="en-US" w:eastAsia="ru-RU"/>
              </w:rPr>
              <w:t>195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984" w:type="dxa"/>
            <w:shd w:val="clear" w:color="auto" w:fill="E8CCF2" w:themeFill="accent3" w:themeFillTint="66"/>
            <w:noWrap/>
            <w:vAlign w:val="center"/>
            <w:hideMark/>
          </w:tcPr>
          <w:p w14:paraId="7133DA10" w14:textId="0E9B78D0" w:rsidR="00EB31D9" w:rsidRPr="00A41529" w:rsidRDefault="00EB31D9" w:rsidP="00DD673B">
            <w:pPr>
              <w:jc w:val="right"/>
              <w:rPr>
                <w:rFonts w:eastAsia="Times New Roman" w:cs="Times New Roman"/>
                <w:color w:val="C00000"/>
                <w:sz w:val="24"/>
                <w:szCs w:val="24"/>
                <w:lang w:eastAsia="ru-RU"/>
              </w:rPr>
            </w:pPr>
            <w:r w:rsidRPr="00CF49C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DD673B" w:rsidRPr="00CF49C9">
              <w:rPr>
                <w:rFonts w:eastAsia="Times New Roman" w:cs="Times New Roman"/>
                <w:sz w:val="24"/>
                <w:szCs w:val="24"/>
                <w:lang w:eastAsia="ru-RU"/>
              </w:rPr>
              <w:t>03,4</w:t>
            </w:r>
            <w:r w:rsidRPr="00CF49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% </w:t>
            </w:r>
            <w:r w:rsidRPr="00A41529">
              <w:rPr>
                <w:b/>
                <w:color w:val="00B050"/>
                <w:sz w:val="24"/>
              </w:rPr>
              <w:sym w:font="Symbol" w:char="F0AD"/>
            </w:r>
          </w:p>
        </w:tc>
        <w:tc>
          <w:tcPr>
            <w:tcW w:w="1495" w:type="dxa"/>
            <w:shd w:val="clear" w:color="auto" w:fill="E8CCF2" w:themeFill="accent3" w:themeFillTint="66"/>
            <w:noWrap/>
            <w:vAlign w:val="center"/>
            <w:hideMark/>
          </w:tcPr>
          <w:p w14:paraId="6D4180A2" w14:textId="7700F749" w:rsidR="00EB31D9" w:rsidRPr="00A41529" w:rsidRDefault="00EB31D9" w:rsidP="00EB31D9">
            <w:pPr>
              <w:jc w:val="center"/>
              <w:rPr>
                <w:rFonts w:eastAsia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F49C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B31D9" w:rsidRPr="00D60B06" w14:paraId="1A8F0AB9" w14:textId="77777777" w:rsidTr="00EF6602">
        <w:trPr>
          <w:trHeight w:val="398"/>
          <w:jc w:val="center"/>
        </w:trPr>
        <w:tc>
          <w:tcPr>
            <w:tcW w:w="4111" w:type="dxa"/>
            <w:vAlign w:val="center"/>
          </w:tcPr>
          <w:p w14:paraId="24BDAE13" w14:textId="7C32D176" w:rsidR="00EB31D9" w:rsidRPr="004620F4" w:rsidRDefault="00EB31D9" w:rsidP="00EB31D9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96F4E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980" w:type="dxa"/>
            <w:noWrap/>
            <w:vAlign w:val="center"/>
          </w:tcPr>
          <w:p w14:paraId="1BCBDE2E" w14:textId="52A31C9D" w:rsidR="00EB31D9" w:rsidRPr="00453C24" w:rsidRDefault="00DD673B" w:rsidP="00EB31D9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73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DD673B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DD673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771744ED" w14:textId="7E212F59" w:rsidR="00EB31D9" w:rsidRDefault="00EB31D9" w:rsidP="00DD673B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DD673B">
              <w:rPr>
                <w:rFonts w:eastAsia="Times New Roman" w:cs="Times New Roman"/>
                <w:sz w:val="24"/>
                <w:szCs w:val="24"/>
                <w:lang w:eastAsia="ru-RU"/>
              </w:rPr>
              <w:t>22,0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% </w:t>
            </w:r>
            <w:r w:rsidRPr="00A41529">
              <w:rPr>
                <w:b/>
                <w:color w:val="00B050"/>
                <w:sz w:val="24"/>
              </w:rPr>
              <w:sym w:font="Symbol" w:char="F0AD"/>
            </w:r>
          </w:p>
        </w:tc>
        <w:tc>
          <w:tcPr>
            <w:tcW w:w="1495" w:type="dxa"/>
            <w:noWrap/>
            <w:vAlign w:val="center"/>
          </w:tcPr>
          <w:p w14:paraId="52BC3D78" w14:textId="6DC8DED9" w:rsidR="00EB31D9" w:rsidRDefault="00EB31D9" w:rsidP="00EB31D9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292748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B31D9" w:rsidRPr="00D60B06" w14:paraId="3DF01F2F" w14:textId="77777777" w:rsidTr="00EF6602">
        <w:trPr>
          <w:trHeight w:val="454"/>
          <w:jc w:val="center"/>
        </w:trPr>
        <w:tc>
          <w:tcPr>
            <w:tcW w:w="4111" w:type="dxa"/>
            <w:vAlign w:val="center"/>
          </w:tcPr>
          <w:p w14:paraId="72C67A9E" w14:textId="77777777" w:rsidR="00EB31D9" w:rsidRPr="006956FC" w:rsidRDefault="00EB31D9" w:rsidP="00EB31D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956FC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980" w:type="dxa"/>
            <w:noWrap/>
            <w:vAlign w:val="center"/>
          </w:tcPr>
          <w:p w14:paraId="435AEC45" w14:textId="5432B537" w:rsidR="00EB31D9" w:rsidRPr="00A41529" w:rsidRDefault="00DD673B" w:rsidP="00EB31D9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673B">
              <w:rPr>
                <w:rFonts w:eastAsia="Times New Roman" w:cs="Times New Roman"/>
                <w:sz w:val="24"/>
                <w:szCs w:val="24"/>
                <w:lang w:eastAsia="ru-RU"/>
              </w:rPr>
              <w:t>685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984" w:type="dxa"/>
            <w:noWrap/>
            <w:vAlign w:val="center"/>
          </w:tcPr>
          <w:p w14:paraId="1226EA10" w14:textId="5EAA9368" w:rsidR="00EB31D9" w:rsidRPr="00A41529" w:rsidRDefault="00EB31D9" w:rsidP="00DD673B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152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DD673B">
              <w:rPr>
                <w:rFonts w:eastAsia="Times New Roman" w:cs="Times New Roman"/>
                <w:sz w:val="24"/>
                <w:szCs w:val="24"/>
                <w:lang w:eastAsia="ru-RU"/>
              </w:rPr>
              <w:t>3,2</w:t>
            </w:r>
            <w:r w:rsidRPr="00A415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% </w:t>
            </w:r>
            <w:r w:rsidRPr="00A41529">
              <w:rPr>
                <w:b/>
                <w:color w:val="00B050"/>
                <w:sz w:val="24"/>
              </w:rPr>
              <w:sym w:font="Symbol" w:char="F0AD"/>
            </w:r>
          </w:p>
        </w:tc>
        <w:tc>
          <w:tcPr>
            <w:tcW w:w="1495" w:type="dxa"/>
            <w:noWrap/>
            <w:vAlign w:val="center"/>
          </w:tcPr>
          <w:p w14:paraId="79EE16DD" w14:textId="0F0C02EE" w:rsidR="00EB31D9" w:rsidRPr="006956FC" w:rsidRDefault="00EB31D9" w:rsidP="00DD673B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D673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14:paraId="6C36EAD6" w14:textId="77777777" w:rsidR="004D6DEE" w:rsidRPr="00AF4F83" w:rsidRDefault="004D6DEE" w:rsidP="00E24791">
      <w:pPr>
        <w:spacing w:after="0" w:line="240" w:lineRule="auto"/>
        <w:ind w:firstLine="567"/>
        <w:jc w:val="center"/>
        <w:rPr>
          <w:i/>
          <w:sz w:val="20"/>
          <w:szCs w:val="20"/>
          <w:lang w:val="en-US"/>
        </w:rPr>
      </w:pPr>
    </w:p>
    <w:p w14:paraId="2F1350BF" w14:textId="3132280B" w:rsidR="004D6DEE" w:rsidRDefault="004D6DEE" w:rsidP="00E24791">
      <w:pPr>
        <w:spacing w:after="0" w:line="240" w:lineRule="auto"/>
        <w:ind w:firstLine="567"/>
        <w:jc w:val="center"/>
        <w:rPr>
          <w:sz w:val="24"/>
          <w:szCs w:val="24"/>
        </w:rPr>
      </w:pPr>
      <w:r w:rsidRPr="00DC30D8">
        <w:rPr>
          <w:i/>
          <w:sz w:val="20"/>
          <w:szCs w:val="20"/>
        </w:rPr>
        <w:t xml:space="preserve">Источник: </w:t>
      </w:r>
      <w:r>
        <w:rPr>
          <w:i/>
          <w:sz w:val="20"/>
          <w:szCs w:val="20"/>
        </w:rPr>
        <w:t>Росстат</w:t>
      </w:r>
    </w:p>
    <w:p w14:paraId="4E5F1840" w14:textId="77777777" w:rsidR="004D6DEE" w:rsidRDefault="004D6DEE" w:rsidP="00E24791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5D5510CA" w14:textId="640017D1" w:rsidR="00331363" w:rsidRDefault="00EB6D58" w:rsidP="00E24791">
      <w:pPr>
        <w:spacing w:after="0" w:line="240" w:lineRule="auto"/>
        <w:ind w:firstLine="567"/>
        <w:jc w:val="both"/>
        <w:rPr>
          <w:sz w:val="24"/>
          <w:szCs w:val="24"/>
        </w:rPr>
      </w:pPr>
      <w:r w:rsidRPr="006C53B1">
        <w:rPr>
          <w:sz w:val="24"/>
          <w:szCs w:val="24"/>
        </w:rPr>
        <w:t>Санкт-</w:t>
      </w:r>
      <w:r w:rsidR="0082130D">
        <w:rPr>
          <w:sz w:val="24"/>
          <w:szCs w:val="24"/>
        </w:rPr>
        <w:t>Петербург занял</w:t>
      </w:r>
      <w:r w:rsidR="00DD673B">
        <w:rPr>
          <w:sz w:val="24"/>
          <w:szCs w:val="24"/>
        </w:rPr>
        <w:t xml:space="preserve"> 5</w:t>
      </w:r>
      <w:r w:rsidR="0082130D">
        <w:rPr>
          <w:sz w:val="24"/>
          <w:szCs w:val="24"/>
        </w:rPr>
        <w:t>-</w:t>
      </w:r>
      <w:r w:rsidR="001C4F8A">
        <w:rPr>
          <w:sz w:val="24"/>
          <w:szCs w:val="24"/>
        </w:rPr>
        <w:t>е</w:t>
      </w:r>
      <w:r>
        <w:rPr>
          <w:sz w:val="24"/>
          <w:szCs w:val="24"/>
        </w:rPr>
        <w:t xml:space="preserve"> место среди </w:t>
      </w:r>
      <w:r w:rsidR="00CF7A24">
        <w:rPr>
          <w:sz w:val="24"/>
          <w:szCs w:val="24"/>
        </w:rPr>
        <w:t>субъектов</w:t>
      </w:r>
      <w:r>
        <w:rPr>
          <w:sz w:val="24"/>
          <w:szCs w:val="24"/>
        </w:rPr>
        <w:t xml:space="preserve"> Росси</w:t>
      </w:r>
      <w:r w:rsidR="00CF7A24">
        <w:rPr>
          <w:sz w:val="24"/>
          <w:szCs w:val="24"/>
        </w:rPr>
        <w:t>йской Федерации</w:t>
      </w:r>
      <w:r>
        <w:rPr>
          <w:sz w:val="24"/>
          <w:szCs w:val="24"/>
        </w:rPr>
        <w:t xml:space="preserve"> по объему инвестиций в основной капитал</w:t>
      </w:r>
      <w:r w:rsidR="00A12747" w:rsidRPr="00A12747">
        <w:rPr>
          <w:sz w:val="24"/>
          <w:szCs w:val="24"/>
        </w:rPr>
        <w:t xml:space="preserve"> </w:t>
      </w:r>
      <w:r w:rsidR="00A12747">
        <w:rPr>
          <w:sz w:val="24"/>
          <w:szCs w:val="24"/>
        </w:rPr>
        <w:t xml:space="preserve">по итогам </w:t>
      </w:r>
      <w:r>
        <w:rPr>
          <w:sz w:val="24"/>
          <w:szCs w:val="24"/>
        </w:rPr>
        <w:t>202</w:t>
      </w:r>
      <w:r w:rsidR="001C4F8A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  <w:r w:rsidR="007535A7">
        <w:rPr>
          <w:sz w:val="24"/>
          <w:szCs w:val="24"/>
        </w:rPr>
        <w:t>. В предыдуще</w:t>
      </w:r>
      <w:r w:rsidR="00DD673B">
        <w:rPr>
          <w:sz w:val="24"/>
          <w:szCs w:val="24"/>
        </w:rPr>
        <w:t>м</w:t>
      </w:r>
      <w:r w:rsidR="007535A7">
        <w:rPr>
          <w:sz w:val="24"/>
          <w:szCs w:val="24"/>
        </w:rPr>
        <w:t xml:space="preserve"> год</w:t>
      </w:r>
      <w:r w:rsidR="00DD673B">
        <w:rPr>
          <w:sz w:val="24"/>
          <w:szCs w:val="24"/>
        </w:rPr>
        <w:t>у</w:t>
      </w:r>
      <w:r w:rsidR="007535A7">
        <w:rPr>
          <w:sz w:val="24"/>
          <w:szCs w:val="24"/>
        </w:rPr>
        <w:t xml:space="preserve"> Санкт</w:t>
      </w:r>
      <w:r w:rsidR="007535A7">
        <w:rPr>
          <w:sz w:val="24"/>
          <w:szCs w:val="24"/>
        </w:rPr>
        <w:noBreakHyphen/>
        <w:t xml:space="preserve">Петербург занимал аналогичную позицию. </w:t>
      </w:r>
      <w:r w:rsidR="00524A2A">
        <w:rPr>
          <w:sz w:val="24"/>
          <w:szCs w:val="24"/>
        </w:rPr>
        <w:t xml:space="preserve">Большие объемы инвестиций наблюдались только в Москве и Московской области, а также </w:t>
      </w:r>
      <w:r w:rsidR="00C575EB">
        <w:rPr>
          <w:sz w:val="24"/>
          <w:szCs w:val="24"/>
        </w:rPr>
        <w:t xml:space="preserve">в </w:t>
      </w:r>
      <w:r w:rsidR="00524A2A">
        <w:rPr>
          <w:sz w:val="24"/>
          <w:szCs w:val="24"/>
        </w:rPr>
        <w:t>основны</w:t>
      </w:r>
      <w:r w:rsidR="00C575EB">
        <w:rPr>
          <w:sz w:val="24"/>
          <w:szCs w:val="24"/>
        </w:rPr>
        <w:t>х</w:t>
      </w:r>
      <w:r w:rsidR="00524A2A">
        <w:rPr>
          <w:sz w:val="24"/>
          <w:szCs w:val="24"/>
        </w:rPr>
        <w:t xml:space="preserve"> </w:t>
      </w:r>
      <w:proofErr w:type="spellStart"/>
      <w:r w:rsidR="00524A2A">
        <w:rPr>
          <w:sz w:val="24"/>
          <w:szCs w:val="24"/>
        </w:rPr>
        <w:t>ресурсодобывающи</w:t>
      </w:r>
      <w:r w:rsidR="00C575EB">
        <w:rPr>
          <w:sz w:val="24"/>
          <w:szCs w:val="24"/>
        </w:rPr>
        <w:t>х</w:t>
      </w:r>
      <w:proofErr w:type="spellEnd"/>
      <w:r w:rsidR="00524A2A">
        <w:rPr>
          <w:sz w:val="24"/>
          <w:szCs w:val="24"/>
        </w:rPr>
        <w:t xml:space="preserve"> региона</w:t>
      </w:r>
      <w:r w:rsidR="00C575EB">
        <w:rPr>
          <w:sz w:val="24"/>
          <w:szCs w:val="24"/>
        </w:rPr>
        <w:t>х</w:t>
      </w:r>
      <w:r w:rsidR="00524A2A">
        <w:rPr>
          <w:sz w:val="24"/>
          <w:szCs w:val="24"/>
        </w:rPr>
        <w:t xml:space="preserve"> России – Ханты-Мансийском и Ямало-Ненецком автономны</w:t>
      </w:r>
      <w:r w:rsidR="00C575EB">
        <w:rPr>
          <w:sz w:val="24"/>
          <w:szCs w:val="24"/>
        </w:rPr>
        <w:t>х</w:t>
      </w:r>
      <w:r w:rsidR="00524A2A">
        <w:rPr>
          <w:sz w:val="24"/>
          <w:szCs w:val="24"/>
        </w:rPr>
        <w:t xml:space="preserve"> округа</w:t>
      </w:r>
      <w:r w:rsidR="00C575EB">
        <w:rPr>
          <w:sz w:val="24"/>
          <w:szCs w:val="24"/>
        </w:rPr>
        <w:t>х</w:t>
      </w:r>
      <w:r w:rsidR="00524A2A">
        <w:rPr>
          <w:sz w:val="24"/>
          <w:szCs w:val="24"/>
        </w:rPr>
        <w:t xml:space="preserve">. </w:t>
      </w:r>
      <w:r w:rsidR="000E3EDE">
        <w:rPr>
          <w:sz w:val="24"/>
          <w:szCs w:val="24"/>
        </w:rPr>
        <w:t xml:space="preserve">По объему привлеченных инвестиций </w:t>
      </w:r>
      <w:r w:rsidR="001F0359">
        <w:rPr>
          <w:sz w:val="24"/>
          <w:szCs w:val="24"/>
        </w:rPr>
        <w:t xml:space="preserve">Татарстан </w:t>
      </w:r>
      <w:r w:rsidR="004C6902">
        <w:rPr>
          <w:sz w:val="24"/>
          <w:szCs w:val="24"/>
        </w:rPr>
        <w:t>незначительно уступ</w:t>
      </w:r>
      <w:r w:rsidR="004D60DB">
        <w:rPr>
          <w:sz w:val="24"/>
          <w:szCs w:val="24"/>
        </w:rPr>
        <w:t>и</w:t>
      </w:r>
      <w:r w:rsidR="004C6902">
        <w:rPr>
          <w:sz w:val="24"/>
          <w:szCs w:val="24"/>
        </w:rPr>
        <w:t>л</w:t>
      </w:r>
      <w:r w:rsidR="0082130D">
        <w:rPr>
          <w:sz w:val="24"/>
          <w:szCs w:val="24"/>
        </w:rPr>
        <w:t xml:space="preserve"> </w:t>
      </w:r>
      <w:r w:rsidR="00DC3193">
        <w:rPr>
          <w:sz w:val="24"/>
          <w:szCs w:val="24"/>
        </w:rPr>
        <w:t>Санкт</w:t>
      </w:r>
      <w:r w:rsidR="0082130D">
        <w:rPr>
          <w:sz w:val="24"/>
          <w:szCs w:val="24"/>
        </w:rPr>
        <w:noBreakHyphen/>
      </w:r>
      <w:r w:rsidR="00DC3193">
        <w:rPr>
          <w:sz w:val="24"/>
          <w:szCs w:val="24"/>
        </w:rPr>
        <w:t>Петербург</w:t>
      </w:r>
      <w:r w:rsidR="004C6902">
        <w:rPr>
          <w:sz w:val="24"/>
          <w:szCs w:val="24"/>
        </w:rPr>
        <w:t>у</w:t>
      </w:r>
      <w:r w:rsidR="000E3EDE">
        <w:rPr>
          <w:sz w:val="24"/>
          <w:szCs w:val="24"/>
        </w:rPr>
        <w:t xml:space="preserve"> в 2023 год</w:t>
      </w:r>
      <w:r w:rsidR="00331363">
        <w:rPr>
          <w:sz w:val="24"/>
          <w:szCs w:val="24"/>
        </w:rPr>
        <w:t>у</w:t>
      </w:r>
      <w:r w:rsidR="00524A2A">
        <w:rPr>
          <w:sz w:val="24"/>
          <w:szCs w:val="24"/>
        </w:rPr>
        <w:t>, заняв 6 место</w:t>
      </w:r>
      <w:r w:rsidR="00331363">
        <w:rPr>
          <w:sz w:val="24"/>
          <w:szCs w:val="24"/>
        </w:rPr>
        <w:t>.</w:t>
      </w:r>
      <w:r w:rsidR="00331363" w:rsidRPr="00331363">
        <w:rPr>
          <w:sz w:val="24"/>
          <w:szCs w:val="24"/>
        </w:rPr>
        <w:t xml:space="preserve"> </w:t>
      </w:r>
    </w:p>
    <w:p w14:paraId="44DC754F" w14:textId="3AAB6BD8" w:rsidR="00B70F00" w:rsidRPr="00106160" w:rsidRDefault="001C4F8A" w:rsidP="00E24791">
      <w:pPr>
        <w:spacing w:after="0" w:line="240" w:lineRule="auto"/>
        <w:ind w:firstLine="567"/>
        <w:jc w:val="both"/>
        <w:rPr>
          <w:i/>
          <w:sz w:val="20"/>
          <w:szCs w:val="20"/>
        </w:rPr>
      </w:pPr>
      <w:r>
        <w:rPr>
          <w:sz w:val="24"/>
          <w:szCs w:val="24"/>
        </w:rPr>
        <w:lastRenderedPageBreak/>
        <w:t>Ленинградская область, продемонстрировав высокие показатели</w:t>
      </w:r>
      <w:r w:rsidR="00106160">
        <w:rPr>
          <w:sz w:val="24"/>
          <w:szCs w:val="24"/>
        </w:rPr>
        <w:t xml:space="preserve"> ИФО (11</w:t>
      </w:r>
      <w:r w:rsidR="006F569B">
        <w:rPr>
          <w:sz w:val="24"/>
          <w:szCs w:val="24"/>
        </w:rPr>
        <w:t>3,2</w:t>
      </w:r>
      <w:r>
        <w:rPr>
          <w:sz w:val="24"/>
          <w:szCs w:val="24"/>
        </w:rPr>
        <w:t>%), не вошла в</w:t>
      </w:r>
      <w:r w:rsidR="00DC3193">
        <w:rPr>
          <w:sz w:val="24"/>
          <w:szCs w:val="24"/>
        </w:rPr>
        <w:t> </w:t>
      </w:r>
      <w:r>
        <w:rPr>
          <w:sz w:val="24"/>
          <w:szCs w:val="24"/>
        </w:rPr>
        <w:t>топ</w:t>
      </w:r>
      <w:r w:rsidR="00106160">
        <w:rPr>
          <w:sz w:val="24"/>
          <w:szCs w:val="24"/>
        </w:rPr>
        <w:noBreakHyphen/>
      </w:r>
      <w:r>
        <w:rPr>
          <w:sz w:val="24"/>
          <w:szCs w:val="24"/>
        </w:rPr>
        <w:t>10 субъектов с наибольшим объемом инвестиций в основной капитал</w:t>
      </w:r>
      <w:r w:rsidR="00BA376B">
        <w:rPr>
          <w:sz w:val="24"/>
          <w:szCs w:val="24"/>
        </w:rPr>
        <w:t xml:space="preserve"> в </w:t>
      </w:r>
      <w:r w:rsidR="00AB540A">
        <w:rPr>
          <w:sz w:val="24"/>
          <w:szCs w:val="24"/>
        </w:rPr>
        <w:t>2023</w:t>
      </w:r>
      <w:r w:rsidR="004C6902">
        <w:rPr>
          <w:sz w:val="24"/>
          <w:szCs w:val="24"/>
        </w:rPr>
        <w:t> </w:t>
      </w:r>
      <w:r w:rsidR="00AB540A">
        <w:rPr>
          <w:sz w:val="24"/>
          <w:szCs w:val="24"/>
        </w:rPr>
        <w:t>год</w:t>
      </w:r>
      <w:r w:rsidR="006F569B">
        <w:rPr>
          <w:sz w:val="24"/>
          <w:szCs w:val="24"/>
        </w:rPr>
        <w:t>у</w:t>
      </w:r>
      <w:r>
        <w:rPr>
          <w:sz w:val="24"/>
          <w:szCs w:val="24"/>
        </w:rPr>
        <w:t xml:space="preserve">. </w:t>
      </w:r>
      <w:r w:rsidR="002E6D60">
        <w:rPr>
          <w:sz w:val="24"/>
          <w:szCs w:val="24"/>
        </w:rPr>
        <w:t>В регионе более половины капиталовложени</w:t>
      </w:r>
      <w:r w:rsidR="003951C3">
        <w:rPr>
          <w:sz w:val="24"/>
          <w:szCs w:val="24"/>
        </w:rPr>
        <w:t>й (5</w:t>
      </w:r>
      <w:r w:rsidR="006F569B">
        <w:rPr>
          <w:sz w:val="24"/>
          <w:szCs w:val="24"/>
        </w:rPr>
        <w:t>0,4</w:t>
      </w:r>
      <w:r w:rsidR="003951C3">
        <w:rPr>
          <w:sz w:val="24"/>
          <w:szCs w:val="24"/>
        </w:rPr>
        <w:t>%) пришлось на обрабатывающие производства (в основном за счет производства химических веществ и продуктов), далее следует транспортировка и хранение, доля которой в общей структуре объема инвестиций составила</w:t>
      </w:r>
      <w:r w:rsidR="00C56BF7">
        <w:rPr>
          <w:sz w:val="24"/>
          <w:szCs w:val="24"/>
        </w:rPr>
        <w:t xml:space="preserve"> 21,</w:t>
      </w:r>
      <w:r w:rsidR="006F569B">
        <w:rPr>
          <w:sz w:val="24"/>
          <w:szCs w:val="24"/>
        </w:rPr>
        <w:t>8</w:t>
      </w:r>
      <w:r w:rsidR="00C56BF7">
        <w:rPr>
          <w:sz w:val="24"/>
          <w:szCs w:val="24"/>
        </w:rPr>
        <w:t>%.</w:t>
      </w:r>
      <w:r w:rsidR="003951C3">
        <w:rPr>
          <w:sz w:val="24"/>
          <w:szCs w:val="24"/>
        </w:rPr>
        <w:t xml:space="preserve">  </w:t>
      </w:r>
    </w:p>
    <w:sectPr w:rsidR="00B70F00" w:rsidRPr="00106160" w:rsidSect="00CA1C93">
      <w:footerReference w:type="first" r:id="rId14"/>
      <w:pgSz w:w="11906" w:h="16838"/>
      <w:pgMar w:top="851" w:right="567" w:bottom="567" w:left="851" w:header="119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B0987" w14:textId="77777777" w:rsidR="004B3DD9" w:rsidRDefault="004B3DD9" w:rsidP="00CA1C93">
      <w:pPr>
        <w:spacing w:after="0" w:line="240" w:lineRule="auto"/>
      </w:pPr>
      <w:r>
        <w:separator/>
      </w:r>
    </w:p>
  </w:endnote>
  <w:endnote w:type="continuationSeparator" w:id="0">
    <w:p w14:paraId="073173E5" w14:textId="77777777" w:rsidR="004B3DD9" w:rsidRDefault="004B3DD9" w:rsidP="00CA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DCDF" w14:textId="1AF0A2C2" w:rsidR="004C6902" w:rsidRPr="0071352E" w:rsidRDefault="004C6902" w:rsidP="0071352E">
    <w:pPr>
      <w:pStyle w:val="a5"/>
      <w:jc w:val="center"/>
    </w:pPr>
    <w:r>
      <w:t>Санкт-Петербург 202</w:t>
    </w:r>
    <w:r w:rsidR="00336534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93427" w14:textId="77777777" w:rsidR="004B3DD9" w:rsidRDefault="004B3DD9" w:rsidP="00CA1C93">
      <w:pPr>
        <w:spacing w:after="0" w:line="240" w:lineRule="auto"/>
      </w:pPr>
      <w:r>
        <w:separator/>
      </w:r>
    </w:p>
  </w:footnote>
  <w:footnote w:type="continuationSeparator" w:id="0">
    <w:p w14:paraId="14A3E330" w14:textId="77777777" w:rsidR="004B3DD9" w:rsidRDefault="004B3DD9" w:rsidP="00CA1C93">
      <w:pPr>
        <w:spacing w:after="0" w:line="240" w:lineRule="auto"/>
      </w:pPr>
      <w:r>
        <w:continuationSeparator/>
      </w:r>
    </w:p>
  </w:footnote>
  <w:footnote w:id="1">
    <w:p w14:paraId="72EDFCB7" w14:textId="607C0CC0" w:rsidR="008F3DC9" w:rsidRDefault="00E24791">
      <w:pPr>
        <w:pStyle w:val="a9"/>
      </w:pPr>
      <w:r>
        <w:rPr>
          <w:rStyle w:val="ab"/>
        </w:rPr>
        <w:footnoteRef/>
      </w:r>
      <w:r>
        <w:t xml:space="preserve"> Представлены виды деятельности, на которые приходится 2% и более от объема инвестиций</w:t>
      </w:r>
      <w:r w:rsidR="008F3DC9">
        <w:t xml:space="preserve"> в основной капитал</w:t>
      </w:r>
      <w:r w:rsidR="00702377">
        <w:t>.</w:t>
      </w:r>
    </w:p>
  </w:footnote>
  <w:footnote w:id="2">
    <w:p w14:paraId="6DC5310D" w14:textId="5120557A" w:rsidR="00B07414" w:rsidRDefault="00B07414">
      <w:pPr>
        <w:pStyle w:val="a9"/>
      </w:pPr>
      <w:r>
        <w:rPr>
          <w:rStyle w:val="ab"/>
        </w:rPr>
        <w:footnoteRef/>
      </w:r>
      <w:r>
        <w:t xml:space="preserve"> </w:t>
      </w:r>
      <w:r w:rsidRPr="00B07414">
        <w:t>Представлены виды деятельности, на которые приходится 2% и более от объема инвестиций в основной капитал</w:t>
      </w:r>
      <w:r>
        <w:t xml:space="preserve"> обрабатывающих производств</w:t>
      </w:r>
      <w:r w:rsidR="00702377">
        <w:t>.</w:t>
      </w:r>
    </w:p>
  </w:footnote>
  <w:footnote w:id="3">
    <w:p w14:paraId="2F5C87E8" w14:textId="6D746E74" w:rsidR="004C6902" w:rsidRPr="00CE4C16" w:rsidRDefault="004C6902">
      <w:pPr>
        <w:pStyle w:val="a9"/>
      </w:pPr>
      <w:r>
        <w:rPr>
          <w:rStyle w:val="ab"/>
        </w:rPr>
        <w:footnoteRef/>
      </w:r>
      <w:r>
        <w:t xml:space="preserve"> «Мы не врем». В Петербурге начали собирать </w:t>
      </w:r>
      <w:r>
        <w:rPr>
          <w:lang w:val="en-US"/>
        </w:rPr>
        <w:t>Lada</w:t>
      </w:r>
      <w:r w:rsidRPr="00CE4C16">
        <w:t xml:space="preserve"> </w:t>
      </w:r>
      <w:r>
        <w:rPr>
          <w:lang w:val="en-US"/>
        </w:rPr>
        <w:t>X</w:t>
      </w:r>
      <w:r w:rsidRPr="00CE4C16">
        <w:t>-</w:t>
      </w:r>
      <w:r>
        <w:rPr>
          <w:lang w:val="en-US"/>
        </w:rPr>
        <w:t>Cross</w:t>
      </w:r>
      <w:r w:rsidRPr="00CE4C16">
        <w:t xml:space="preserve"> 5 </w:t>
      </w:r>
      <w:r>
        <w:t xml:space="preserve">из деталей «восточного партнера» // </w:t>
      </w:r>
      <w:proofErr w:type="spellStart"/>
      <w:r>
        <w:t>Фонтанка.ру</w:t>
      </w:r>
      <w:proofErr w:type="spellEnd"/>
      <w:r>
        <w:t xml:space="preserve">. – 17.06.2023. – Режим доступа: </w:t>
      </w:r>
      <w:r>
        <w:rPr>
          <w:lang w:val="en-US"/>
        </w:rPr>
        <w:t>URL</w:t>
      </w:r>
      <w:r w:rsidRPr="00CE4C16">
        <w:t xml:space="preserve">: </w:t>
      </w:r>
      <w:hyperlink r:id="rId1" w:history="1">
        <w:r w:rsidRPr="0090635F">
          <w:t>https://www.fontanka.ru/2023/06/17/72409781</w:t>
        </w:r>
      </w:hyperlink>
      <w:r w:rsidRPr="00CE4C16">
        <w:t xml:space="preserve"> (</w:t>
      </w:r>
      <w:r>
        <w:t xml:space="preserve">дата обращения: </w:t>
      </w:r>
      <w:r w:rsidR="003D0366">
        <w:t>12</w:t>
      </w:r>
      <w:r>
        <w:t>.</w:t>
      </w:r>
      <w:r w:rsidR="003D0366">
        <w:t>12</w:t>
      </w:r>
      <w:r>
        <w:t xml:space="preserve">.2023). </w:t>
      </w:r>
      <w:r w:rsidRPr="00CE4C16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03C4"/>
    <w:multiLevelType w:val="hybridMultilevel"/>
    <w:tmpl w:val="608EB9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5EC7E8E"/>
    <w:multiLevelType w:val="hybridMultilevel"/>
    <w:tmpl w:val="C54467C6"/>
    <w:lvl w:ilvl="0" w:tplc="8954E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93"/>
    <w:rsid w:val="0000221F"/>
    <w:rsid w:val="000042BA"/>
    <w:rsid w:val="00022450"/>
    <w:rsid w:val="00031D2D"/>
    <w:rsid w:val="00032C3F"/>
    <w:rsid w:val="0004272D"/>
    <w:rsid w:val="0005210A"/>
    <w:rsid w:val="0006453C"/>
    <w:rsid w:val="0006785D"/>
    <w:rsid w:val="0008302A"/>
    <w:rsid w:val="000949D1"/>
    <w:rsid w:val="000B34EA"/>
    <w:rsid w:val="000B58F1"/>
    <w:rsid w:val="000B5F37"/>
    <w:rsid w:val="000C2F29"/>
    <w:rsid w:val="000D042E"/>
    <w:rsid w:val="000D2045"/>
    <w:rsid w:val="000E3EDE"/>
    <w:rsid w:val="000F328C"/>
    <w:rsid w:val="000F4DA4"/>
    <w:rsid w:val="000F70DD"/>
    <w:rsid w:val="000F7E1F"/>
    <w:rsid w:val="00106160"/>
    <w:rsid w:val="00111964"/>
    <w:rsid w:val="00134FEC"/>
    <w:rsid w:val="00143CBD"/>
    <w:rsid w:val="00157751"/>
    <w:rsid w:val="00157B82"/>
    <w:rsid w:val="0019237A"/>
    <w:rsid w:val="00197518"/>
    <w:rsid w:val="00197851"/>
    <w:rsid w:val="001B0325"/>
    <w:rsid w:val="001B4CB3"/>
    <w:rsid w:val="001C4F8A"/>
    <w:rsid w:val="001C62AD"/>
    <w:rsid w:val="001D1751"/>
    <w:rsid w:val="001D31C2"/>
    <w:rsid w:val="001E59C6"/>
    <w:rsid w:val="001F0359"/>
    <w:rsid w:val="001F6B7C"/>
    <w:rsid w:val="00201B6E"/>
    <w:rsid w:val="002155B3"/>
    <w:rsid w:val="002201AB"/>
    <w:rsid w:val="002334DD"/>
    <w:rsid w:val="002452D5"/>
    <w:rsid w:val="002457AB"/>
    <w:rsid w:val="002624ED"/>
    <w:rsid w:val="002637B4"/>
    <w:rsid w:val="00267C01"/>
    <w:rsid w:val="00285F6C"/>
    <w:rsid w:val="002929A2"/>
    <w:rsid w:val="00297266"/>
    <w:rsid w:val="002A4B2B"/>
    <w:rsid w:val="002B0274"/>
    <w:rsid w:val="002B0399"/>
    <w:rsid w:val="002B52D9"/>
    <w:rsid w:val="002B5D2C"/>
    <w:rsid w:val="002B64EB"/>
    <w:rsid w:val="002C216B"/>
    <w:rsid w:val="002C25C3"/>
    <w:rsid w:val="002C5225"/>
    <w:rsid w:val="002D1012"/>
    <w:rsid w:val="002D280B"/>
    <w:rsid w:val="002D52B4"/>
    <w:rsid w:val="002E30BF"/>
    <w:rsid w:val="002E6D60"/>
    <w:rsid w:val="002F43A4"/>
    <w:rsid w:val="002F704E"/>
    <w:rsid w:val="00307660"/>
    <w:rsid w:val="00312514"/>
    <w:rsid w:val="00314308"/>
    <w:rsid w:val="003206E6"/>
    <w:rsid w:val="00331363"/>
    <w:rsid w:val="00331A60"/>
    <w:rsid w:val="00336534"/>
    <w:rsid w:val="0034771C"/>
    <w:rsid w:val="00347B0B"/>
    <w:rsid w:val="00351382"/>
    <w:rsid w:val="00386F53"/>
    <w:rsid w:val="003951C3"/>
    <w:rsid w:val="00397A7F"/>
    <w:rsid w:val="003A09AC"/>
    <w:rsid w:val="003A3649"/>
    <w:rsid w:val="003A58CF"/>
    <w:rsid w:val="003D0366"/>
    <w:rsid w:val="003D401B"/>
    <w:rsid w:val="003E4D00"/>
    <w:rsid w:val="003F0B4F"/>
    <w:rsid w:val="003F1B9F"/>
    <w:rsid w:val="003F4D67"/>
    <w:rsid w:val="004027C4"/>
    <w:rsid w:val="00413101"/>
    <w:rsid w:val="00427702"/>
    <w:rsid w:val="00431FB8"/>
    <w:rsid w:val="00436364"/>
    <w:rsid w:val="0044413E"/>
    <w:rsid w:val="004452AD"/>
    <w:rsid w:val="00453C24"/>
    <w:rsid w:val="004620F4"/>
    <w:rsid w:val="0046389A"/>
    <w:rsid w:val="0046540D"/>
    <w:rsid w:val="004710BE"/>
    <w:rsid w:val="00482C76"/>
    <w:rsid w:val="00491F12"/>
    <w:rsid w:val="004A2BD8"/>
    <w:rsid w:val="004A6A9A"/>
    <w:rsid w:val="004B3DD9"/>
    <w:rsid w:val="004C1C08"/>
    <w:rsid w:val="004C6902"/>
    <w:rsid w:val="004C7EBE"/>
    <w:rsid w:val="004D60DB"/>
    <w:rsid w:val="004D62A7"/>
    <w:rsid w:val="004D6DEE"/>
    <w:rsid w:val="004E2F2A"/>
    <w:rsid w:val="004E3F71"/>
    <w:rsid w:val="004F09EA"/>
    <w:rsid w:val="00517AC2"/>
    <w:rsid w:val="00524A2A"/>
    <w:rsid w:val="00547448"/>
    <w:rsid w:val="0055064D"/>
    <w:rsid w:val="0058366B"/>
    <w:rsid w:val="0058461F"/>
    <w:rsid w:val="00591785"/>
    <w:rsid w:val="00591DB1"/>
    <w:rsid w:val="00595CA2"/>
    <w:rsid w:val="00596C0A"/>
    <w:rsid w:val="005A286A"/>
    <w:rsid w:val="005B09DF"/>
    <w:rsid w:val="005C136E"/>
    <w:rsid w:val="005D7C35"/>
    <w:rsid w:val="005E27A4"/>
    <w:rsid w:val="005E2B6C"/>
    <w:rsid w:val="00601473"/>
    <w:rsid w:val="00601A11"/>
    <w:rsid w:val="00601AFD"/>
    <w:rsid w:val="00602A1B"/>
    <w:rsid w:val="00606A7E"/>
    <w:rsid w:val="00616817"/>
    <w:rsid w:val="00620653"/>
    <w:rsid w:val="00635594"/>
    <w:rsid w:val="006510E4"/>
    <w:rsid w:val="00670F9C"/>
    <w:rsid w:val="00690541"/>
    <w:rsid w:val="0069204F"/>
    <w:rsid w:val="006A29A6"/>
    <w:rsid w:val="006A2DD3"/>
    <w:rsid w:val="006C40A5"/>
    <w:rsid w:val="006D44E0"/>
    <w:rsid w:val="006D5140"/>
    <w:rsid w:val="006D58F9"/>
    <w:rsid w:val="006E5AB7"/>
    <w:rsid w:val="006F2ABD"/>
    <w:rsid w:val="006F5209"/>
    <w:rsid w:val="006F569B"/>
    <w:rsid w:val="006F74B6"/>
    <w:rsid w:val="00700A07"/>
    <w:rsid w:val="00702377"/>
    <w:rsid w:val="007114BF"/>
    <w:rsid w:val="0071352E"/>
    <w:rsid w:val="0071464E"/>
    <w:rsid w:val="00715431"/>
    <w:rsid w:val="007205BA"/>
    <w:rsid w:val="0073119B"/>
    <w:rsid w:val="00733533"/>
    <w:rsid w:val="00733C26"/>
    <w:rsid w:val="00741FB3"/>
    <w:rsid w:val="00742935"/>
    <w:rsid w:val="00743DDD"/>
    <w:rsid w:val="007535A7"/>
    <w:rsid w:val="007536D8"/>
    <w:rsid w:val="007555D6"/>
    <w:rsid w:val="0076330B"/>
    <w:rsid w:val="0077264A"/>
    <w:rsid w:val="007813AF"/>
    <w:rsid w:val="0079439B"/>
    <w:rsid w:val="00796295"/>
    <w:rsid w:val="007A70AD"/>
    <w:rsid w:val="007B2F4B"/>
    <w:rsid w:val="007C7226"/>
    <w:rsid w:val="007D61E0"/>
    <w:rsid w:val="007D7DAD"/>
    <w:rsid w:val="007F59A1"/>
    <w:rsid w:val="007F61E2"/>
    <w:rsid w:val="007F6D91"/>
    <w:rsid w:val="00807D5F"/>
    <w:rsid w:val="00813989"/>
    <w:rsid w:val="0082130D"/>
    <w:rsid w:val="00833BFA"/>
    <w:rsid w:val="008444C7"/>
    <w:rsid w:val="00845B5D"/>
    <w:rsid w:val="00846C55"/>
    <w:rsid w:val="0085562D"/>
    <w:rsid w:val="00865D05"/>
    <w:rsid w:val="008705CE"/>
    <w:rsid w:val="00877988"/>
    <w:rsid w:val="00886DCA"/>
    <w:rsid w:val="0089140F"/>
    <w:rsid w:val="008945A2"/>
    <w:rsid w:val="00895510"/>
    <w:rsid w:val="00897D1A"/>
    <w:rsid w:val="008A143D"/>
    <w:rsid w:val="008A43EC"/>
    <w:rsid w:val="008B3E9A"/>
    <w:rsid w:val="008B5A3D"/>
    <w:rsid w:val="008C2548"/>
    <w:rsid w:val="008C3679"/>
    <w:rsid w:val="008C4A27"/>
    <w:rsid w:val="008C7D5A"/>
    <w:rsid w:val="008D075B"/>
    <w:rsid w:val="008D1D62"/>
    <w:rsid w:val="008D4215"/>
    <w:rsid w:val="008E40A2"/>
    <w:rsid w:val="008F248C"/>
    <w:rsid w:val="008F3DC9"/>
    <w:rsid w:val="00904B9D"/>
    <w:rsid w:val="0090635F"/>
    <w:rsid w:val="00906E94"/>
    <w:rsid w:val="009075C4"/>
    <w:rsid w:val="00911606"/>
    <w:rsid w:val="0092307C"/>
    <w:rsid w:val="00926217"/>
    <w:rsid w:val="0093022E"/>
    <w:rsid w:val="00930AF9"/>
    <w:rsid w:val="00940027"/>
    <w:rsid w:val="0094481F"/>
    <w:rsid w:val="00945518"/>
    <w:rsid w:val="00951301"/>
    <w:rsid w:val="009521F7"/>
    <w:rsid w:val="0096239A"/>
    <w:rsid w:val="009652C5"/>
    <w:rsid w:val="00970F63"/>
    <w:rsid w:val="009742B2"/>
    <w:rsid w:val="009765A5"/>
    <w:rsid w:val="009B16BF"/>
    <w:rsid w:val="009C2928"/>
    <w:rsid w:val="009D0DFC"/>
    <w:rsid w:val="009D17E8"/>
    <w:rsid w:val="009D18DC"/>
    <w:rsid w:val="00A008E9"/>
    <w:rsid w:val="00A03A68"/>
    <w:rsid w:val="00A12747"/>
    <w:rsid w:val="00A31AEE"/>
    <w:rsid w:val="00A339B5"/>
    <w:rsid w:val="00A40883"/>
    <w:rsid w:val="00A62E40"/>
    <w:rsid w:val="00A7079B"/>
    <w:rsid w:val="00A91AEA"/>
    <w:rsid w:val="00AB1AF1"/>
    <w:rsid w:val="00AB540A"/>
    <w:rsid w:val="00AC413A"/>
    <w:rsid w:val="00AC6045"/>
    <w:rsid w:val="00AF414E"/>
    <w:rsid w:val="00AF4F83"/>
    <w:rsid w:val="00B06AB5"/>
    <w:rsid w:val="00B07414"/>
    <w:rsid w:val="00B1500C"/>
    <w:rsid w:val="00B33302"/>
    <w:rsid w:val="00B50BE7"/>
    <w:rsid w:val="00B53788"/>
    <w:rsid w:val="00B54F39"/>
    <w:rsid w:val="00B66158"/>
    <w:rsid w:val="00B70F00"/>
    <w:rsid w:val="00B75B75"/>
    <w:rsid w:val="00B75F45"/>
    <w:rsid w:val="00B9472F"/>
    <w:rsid w:val="00B96F4E"/>
    <w:rsid w:val="00BA0486"/>
    <w:rsid w:val="00BA3118"/>
    <w:rsid w:val="00BA376B"/>
    <w:rsid w:val="00BA3EB9"/>
    <w:rsid w:val="00BA6086"/>
    <w:rsid w:val="00BB3866"/>
    <w:rsid w:val="00BC0081"/>
    <w:rsid w:val="00BC52D1"/>
    <w:rsid w:val="00BD05FA"/>
    <w:rsid w:val="00BF086F"/>
    <w:rsid w:val="00BF0B66"/>
    <w:rsid w:val="00BF2686"/>
    <w:rsid w:val="00BF2873"/>
    <w:rsid w:val="00BF4230"/>
    <w:rsid w:val="00C02ADF"/>
    <w:rsid w:val="00C145D8"/>
    <w:rsid w:val="00C17120"/>
    <w:rsid w:val="00C26FFA"/>
    <w:rsid w:val="00C376DD"/>
    <w:rsid w:val="00C4508A"/>
    <w:rsid w:val="00C566D5"/>
    <w:rsid w:val="00C56BF7"/>
    <w:rsid w:val="00C575EB"/>
    <w:rsid w:val="00C641BF"/>
    <w:rsid w:val="00C65D8E"/>
    <w:rsid w:val="00C74F99"/>
    <w:rsid w:val="00C94391"/>
    <w:rsid w:val="00CA1C93"/>
    <w:rsid w:val="00CA55BE"/>
    <w:rsid w:val="00CA77F2"/>
    <w:rsid w:val="00CB0A7E"/>
    <w:rsid w:val="00CB5AC0"/>
    <w:rsid w:val="00CB665E"/>
    <w:rsid w:val="00CC07CC"/>
    <w:rsid w:val="00CC4D9E"/>
    <w:rsid w:val="00CC762C"/>
    <w:rsid w:val="00CD4CBE"/>
    <w:rsid w:val="00CE1FE8"/>
    <w:rsid w:val="00CE4C16"/>
    <w:rsid w:val="00CF49C9"/>
    <w:rsid w:val="00CF5647"/>
    <w:rsid w:val="00CF7A24"/>
    <w:rsid w:val="00D10D44"/>
    <w:rsid w:val="00D33AA1"/>
    <w:rsid w:val="00D35650"/>
    <w:rsid w:val="00D37217"/>
    <w:rsid w:val="00D40F68"/>
    <w:rsid w:val="00D51FBA"/>
    <w:rsid w:val="00D52231"/>
    <w:rsid w:val="00D55B4B"/>
    <w:rsid w:val="00D609F3"/>
    <w:rsid w:val="00D62E17"/>
    <w:rsid w:val="00D640ED"/>
    <w:rsid w:val="00D6674F"/>
    <w:rsid w:val="00D713F1"/>
    <w:rsid w:val="00D84899"/>
    <w:rsid w:val="00D91D9D"/>
    <w:rsid w:val="00DA3189"/>
    <w:rsid w:val="00DC3193"/>
    <w:rsid w:val="00DD0A05"/>
    <w:rsid w:val="00DD51BB"/>
    <w:rsid w:val="00DD673B"/>
    <w:rsid w:val="00DF5B21"/>
    <w:rsid w:val="00E10590"/>
    <w:rsid w:val="00E1132D"/>
    <w:rsid w:val="00E216C7"/>
    <w:rsid w:val="00E24791"/>
    <w:rsid w:val="00E263CA"/>
    <w:rsid w:val="00E34B2B"/>
    <w:rsid w:val="00E35A2E"/>
    <w:rsid w:val="00E45039"/>
    <w:rsid w:val="00E514D4"/>
    <w:rsid w:val="00E725AC"/>
    <w:rsid w:val="00E73BC9"/>
    <w:rsid w:val="00E81546"/>
    <w:rsid w:val="00E919AD"/>
    <w:rsid w:val="00EA75EB"/>
    <w:rsid w:val="00EB31D9"/>
    <w:rsid w:val="00EB39AB"/>
    <w:rsid w:val="00EB3E20"/>
    <w:rsid w:val="00EB6D58"/>
    <w:rsid w:val="00EC7D03"/>
    <w:rsid w:val="00ED0091"/>
    <w:rsid w:val="00ED6981"/>
    <w:rsid w:val="00EF08DF"/>
    <w:rsid w:val="00EF3394"/>
    <w:rsid w:val="00EF5908"/>
    <w:rsid w:val="00EF6602"/>
    <w:rsid w:val="00F111C4"/>
    <w:rsid w:val="00F11A15"/>
    <w:rsid w:val="00F13861"/>
    <w:rsid w:val="00F1781C"/>
    <w:rsid w:val="00F2230B"/>
    <w:rsid w:val="00F23A23"/>
    <w:rsid w:val="00F23F6A"/>
    <w:rsid w:val="00F5195F"/>
    <w:rsid w:val="00F64BE3"/>
    <w:rsid w:val="00F7463A"/>
    <w:rsid w:val="00F771A8"/>
    <w:rsid w:val="00F80937"/>
    <w:rsid w:val="00F81775"/>
    <w:rsid w:val="00F86256"/>
    <w:rsid w:val="00F8662A"/>
    <w:rsid w:val="00F905F0"/>
    <w:rsid w:val="00F93119"/>
    <w:rsid w:val="00FB2329"/>
    <w:rsid w:val="00FD056D"/>
    <w:rsid w:val="00FD0EAB"/>
    <w:rsid w:val="00FD4B9E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C6B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C93"/>
  </w:style>
  <w:style w:type="paragraph" w:styleId="a5">
    <w:name w:val="footer"/>
    <w:basedOn w:val="a"/>
    <w:link w:val="a6"/>
    <w:uiPriority w:val="99"/>
    <w:unhideWhenUsed/>
    <w:rsid w:val="00CA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C93"/>
  </w:style>
  <w:style w:type="paragraph" w:styleId="a7">
    <w:name w:val="List Paragraph"/>
    <w:basedOn w:val="a"/>
    <w:uiPriority w:val="34"/>
    <w:qFormat/>
    <w:rsid w:val="00B70F00"/>
    <w:pPr>
      <w:spacing w:after="40" w:line="360" w:lineRule="auto"/>
      <w:ind w:left="720"/>
      <w:contextualSpacing/>
    </w:pPr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B7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B70F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70F00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0F00"/>
    <w:rPr>
      <w:vertAlign w:val="superscript"/>
    </w:rPr>
  </w:style>
  <w:style w:type="paragraph" w:styleId="ac">
    <w:name w:val="Normal (Web)"/>
    <w:basedOn w:val="a"/>
    <w:uiPriority w:val="99"/>
    <w:unhideWhenUsed/>
    <w:rsid w:val="00B7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80937"/>
    <w:rPr>
      <w:color w:val="574DF7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A14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A143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143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14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143D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A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14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C93"/>
  </w:style>
  <w:style w:type="paragraph" w:styleId="a5">
    <w:name w:val="footer"/>
    <w:basedOn w:val="a"/>
    <w:link w:val="a6"/>
    <w:uiPriority w:val="99"/>
    <w:unhideWhenUsed/>
    <w:rsid w:val="00CA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C93"/>
  </w:style>
  <w:style w:type="paragraph" w:styleId="a7">
    <w:name w:val="List Paragraph"/>
    <w:basedOn w:val="a"/>
    <w:uiPriority w:val="34"/>
    <w:qFormat/>
    <w:rsid w:val="00B70F00"/>
    <w:pPr>
      <w:spacing w:after="40" w:line="360" w:lineRule="auto"/>
      <w:ind w:left="720"/>
      <w:contextualSpacing/>
    </w:pPr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B70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B70F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70F00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0F00"/>
    <w:rPr>
      <w:vertAlign w:val="superscript"/>
    </w:rPr>
  </w:style>
  <w:style w:type="paragraph" w:styleId="ac">
    <w:name w:val="Normal (Web)"/>
    <w:basedOn w:val="a"/>
    <w:uiPriority w:val="99"/>
    <w:unhideWhenUsed/>
    <w:rsid w:val="00B7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80937"/>
    <w:rPr>
      <w:color w:val="574DF7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A14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A143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143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14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143D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A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1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ntanka.ru/2023/06/17/72409781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588450051711796E-2"/>
          <c:y val="2.8548691029005976E-2"/>
          <c:w val="0.86672200457701409"/>
          <c:h val="0.747869641294838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инвестиций, млдр руб.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9704433497536944E-3"/>
                  <c:y val="3.3630401883301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9F-4BAB-BC16-6522EC1BFD5C}"/>
                </c:ext>
              </c:extLst>
            </c:dLbl>
            <c:numFmt formatCode="#,##0.0" sourceLinked="0"/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Лист1!$B$2:$B$7</c:f>
              <c:numCache>
                <c:formatCode>0.0</c:formatCode>
                <c:ptCount val="6"/>
                <c:pt idx="0">
                  <c:v>852.92286999999999</c:v>
                </c:pt>
                <c:pt idx="1">
                  <c:v>744.09480000000008</c:v>
                </c:pt>
                <c:pt idx="2">
                  <c:v>777.97699999999998</c:v>
                </c:pt>
                <c:pt idx="3">
                  <c:v>896.71582999999998</c:v>
                </c:pt>
                <c:pt idx="4" formatCode="General">
                  <c:v>1050.0999999999999</c:v>
                </c:pt>
                <c:pt idx="5">
                  <c:v>1195.595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23-4F68-8348-7EA9A09BD3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47"/>
        <c:axId val="78976512"/>
        <c:axId val="76768960"/>
      </c:barChart>
      <c:lineChart>
        <c:grouping val="standard"/>
        <c:varyColors val="0"/>
        <c:ser>
          <c:idx val="2"/>
          <c:order val="1"/>
          <c:tx>
            <c:strRef>
              <c:f>Лист1!$D$1</c:f>
              <c:strCache>
                <c:ptCount val="1"/>
                <c:pt idx="0">
                  <c:v>ИФО, %</c:v>
                </c:pt>
              </c:strCache>
            </c:strRef>
          </c:tx>
          <c:spPr>
            <a:ln w="28575" cmpd="sng"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5"/>
            <c:spPr>
              <a:solidFill>
                <a:schemeClr val="bg1"/>
              </a:solidFill>
              <a:ln>
                <a:solidFill>
                  <a:schemeClr val="accent6">
                    <a:lumMod val="75000"/>
                  </a:schemeClr>
                </a:solidFill>
              </a:ln>
            </c:spPr>
          </c:marker>
          <c:dLbls>
            <c:dLbl>
              <c:idx val="1"/>
              <c:layout>
                <c:manualLayout>
                  <c:x val="-3.5402816027306931E-2"/>
                  <c:y val="-5.7751832745044862E-2"/>
                </c:manualLayout>
              </c:layout>
              <c:numFmt formatCode="#,##0.0" sourceLinked="0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900" b="1" i="0">
                      <a:solidFill>
                        <a:schemeClr val="accent4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23-4F68-8348-7EA9A09BD39B}"/>
                </c:ext>
              </c:extLst>
            </c:dLbl>
            <c:dLbl>
              <c:idx val="2"/>
              <c:layout>
                <c:manualLayout>
                  <c:x val="-3.3251309103603501E-2"/>
                  <c:y val="-4.7662730582322531E-2"/>
                </c:manualLayout>
              </c:layout>
              <c:numFmt formatCode="#,##0.0" sourceLinked="0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900" b="1" i="0">
                      <a:solidFill>
                        <a:schemeClr val="accent4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23-4F68-8348-7EA9A09BD39B}"/>
                </c:ext>
              </c:extLst>
            </c:dLbl>
            <c:dLbl>
              <c:idx val="4"/>
              <c:numFmt formatCode="#,##0.0" sourceLinked="0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900" b="1" i="0">
                      <a:solidFill>
                        <a:schemeClr val="accent4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900" b="1" i="0">
                    <a:solidFill>
                      <a:srgbClr val="00B05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119</c:v>
                </c:pt>
                <c:pt idx="1">
                  <c:v>81.5</c:v>
                </c:pt>
                <c:pt idx="2">
                  <c:v>95.8</c:v>
                </c:pt>
                <c:pt idx="3">
                  <c:v>109.1</c:v>
                </c:pt>
                <c:pt idx="4">
                  <c:v>99.9</c:v>
                </c:pt>
                <c:pt idx="5">
                  <c:v>103.4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FB23-4F68-8348-7EA9A09BD3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977536"/>
        <c:axId val="76768384"/>
      </c:lineChart>
      <c:catAx>
        <c:axId val="7897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CDCDD1"/>
            </a:solidFill>
          </a:ln>
        </c:spPr>
        <c:txPr>
          <a:bodyPr/>
          <a:lstStyle/>
          <a:p>
            <a:pPr>
              <a:defRPr sz="10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6768960"/>
        <c:crossesAt val="0"/>
        <c:auto val="1"/>
        <c:lblAlgn val="ctr"/>
        <c:lblOffset val="100"/>
        <c:noMultiLvlLbl val="0"/>
      </c:catAx>
      <c:valAx>
        <c:axId val="76768960"/>
        <c:scaling>
          <c:orientation val="minMax"/>
          <c:max val="1500"/>
          <c:min val="500"/>
        </c:scaling>
        <c:delete val="0"/>
        <c:axPos val="l"/>
        <c:numFmt formatCode="0" sourceLinked="0"/>
        <c:majorTickMark val="none"/>
        <c:minorTickMark val="none"/>
        <c:tickLblPos val="low"/>
        <c:spPr>
          <a:ln w="0">
            <a:solidFill>
              <a:schemeClr val="bg1"/>
            </a:solidFill>
          </a:ln>
        </c:spPr>
        <c:txPr>
          <a:bodyPr/>
          <a:lstStyle/>
          <a:p>
            <a:pPr>
              <a:defRPr>
                <a:solidFill>
                  <a:schemeClr val="bg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8976512"/>
        <c:crosses val="autoZero"/>
        <c:crossBetween val="between"/>
        <c:majorUnit val="200"/>
        <c:minorUnit val="200"/>
      </c:valAx>
      <c:valAx>
        <c:axId val="76768384"/>
        <c:scaling>
          <c:orientation val="minMax"/>
        </c:scaling>
        <c:delete val="0"/>
        <c:axPos val="r"/>
        <c:numFmt formatCode="0%" sourceLinked="0"/>
        <c:majorTickMark val="out"/>
        <c:minorTickMark val="none"/>
        <c:tickLblPos val="nextTo"/>
        <c:spPr>
          <a:ln>
            <a:solidFill>
              <a:schemeClr val="bg1"/>
            </a:solidFill>
          </a:ln>
        </c:spPr>
        <c:txPr>
          <a:bodyPr/>
          <a:lstStyle/>
          <a:p>
            <a:pPr>
              <a:defRPr>
                <a:solidFill>
                  <a:schemeClr val="bg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8977536"/>
        <c:crosses val="max"/>
        <c:crossBetween val="between"/>
        <c:majorUnit val="0.2"/>
      </c:valAx>
      <c:catAx>
        <c:axId val="789775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6768384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24202133354020403"/>
          <c:y val="0.8816690504509116"/>
          <c:w val="0.49348993444784917"/>
          <c:h val="7.904307372668283E-2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3175"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4659047473434755E-2"/>
          <c:y val="7.6671490830001387E-3"/>
          <c:w val="0.94311655777904535"/>
          <c:h val="0.739002961168315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Доля от общего объема инвестиций в 2022 году, %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7341299477221808E-3"/>
                  <c:y val="1.0171276667339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74-4B1E-8E3C-07D2E465B0E6}"/>
                </c:ext>
              </c:extLst>
            </c:dLbl>
            <c:dLbl>
              <c:idx val="1"/>
              <c:layout>
                <c:manualLayout>
                  <c:x val="-1.7650379587540355E-3"/>
                  <c:y val="9.56874160200373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3BE-40F4-BE19-C960880EBBB3}"/>
                </c:ext>
              </c:extLst>
            </c:dLbl>
            <c:dLbl>
              <c:idx val="2"/>
              <c:layout>
                <c:manualLayout>
                  <c:x val="-3.7048743626986879E-3"/>
                  <c:y val="7.7382850508171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74-4B1E-8E3C-07D2E465B0E6}"/>
                </c:ext>
              </c:extLst>
            </c:dLbl>
            <c:dLbl>
              <c:idx val="3"/>
              <c:layout>
                <c:manualLayout>
                  <c:x val="-3.8624722880514066E-3"/>
                  <c:y val="6.9228106611282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A74-4B1E-8E3C-07D2E465B0E6}"/>
                </c:ext>
              </c:extLst>
            </c:dLbl>
            <c:dLbl>
              <c:idx val="4"/>
              <c:layout>
                <c:manualLayout>
                  <c:x val="-1.9870275737564856E-3"/>
                  <c:y val="1.0384215991692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BE-40F4-BE19-C960880EBBB3}"/>
                </c:ext>
              </c:extLst>
            </c:dLbl>
            <c:dLbl>
              <c:idx val="5"/>
              <c:layout>
                <c:manualLayout>
                  <c:x val="-2.0256919901442492E-3"/>
                  <c:y val="6.92281066112841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3BE-40F4-BE19-C960880EBBB3}"/>
                </c:ext>
              </c:extLst>
            </c:dLbl>
            <c:dLbl>
              <c:idx val="6"/>
              <c:layout>
                <c:manualLayout>
                  <c:x val="0"/>
                  <c:y val="1.0384215991692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4A-4704-BB64-15E20B3AB386}"/>
                </c:ext>
              </c:extLst>
            </c:dLbl>
            <c:dLbl>
              <c:idx val="7"/>
              <c:layout>
                <c:manualLayout>
                  <c:x val="-1.8232551028208852E-3"/>
                  <c:y val="6.77372493547340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A74-4B1E-8E3C-07D2E465B0E6}"/>
                </c:ext>
              </c:extLst>
            </c:dLbl>
            <c:dLbl>
              <c:idx val="8"/>
              <c:layout>
                <c:manualLayout>
                  <c:x val="-1.9526265340805513E-3"/>
                  <c:y val="6.92281066112841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A74-4B1E-8E3C-07D2E465B0E6}"/>
                </c:ext>
              </c:extLst>
            </c:dLbl>
            <c:dLbl>
              <c:idx val="9"/>
              <c:layout>
                <c:manualLayout>
                  <c:x val="-1.9729143267112773E-4"/>
                  <c:y val="3.4614053305642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E39-470F-B799-5BE8747616BB}"/>
                </c:ext>
              </c:extLst>
            </c:dLbl>
            <c:dLbl>
              <c:idx val="10"/>
              <c:layout>
                <c:manualLayout>
                  <c:x val="-1.909845753970821E-3"/>
                  <c:y val="1.0384215991692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A74-4B1E-8E3C-07D2E465B0E6}"/>
                </c:ext>
              </c:extLst>
            </c:dLbl>
            <c:dLbl>
              <c:idx val="11"/>
              <c:layout>
                <c:manualLayout>
                  <c:x val="-3.7331008567917062E-3"/>
                  <c:y val="1.053330171734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60-4356-8AB2-63A38319F6C2}"/>
                </c:ext>
              </c:extLst>
            </c:dLbl>
            <c:dLbl>
              <c:idx val="12"/>
              <c:layout>
                <c:manualLayout>
                  <c:x val="-1.9954073141902817E-3"/>
                  <c:y val="6.9228106611282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67-442C-B8C5-60F260AD9A6E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22.3</c:v>
                </c:pt>
                <c:pt idx="1">
                  <c:v>9.8000000000000007</c:v>
                </c:pt>
                <c:pt idx="2">
                  <c:v>13.8</c:v>
                </c:pt>
                <c:pt idx="3">
                  <c:v>8.1999999999999993</c:v>
                </c:pt>
                <c:pt idx="4">
                  <c:v>7.5</c:v>
                </c:pt>
                <c:pt idx="5">
                  <c:v>5.5</c:v>
                </c:pt>
                <c:pt idx="6">
                  <c:v>6.1</c:v>
                </c:pt>
                <c:pt idx="7">
                  <c:v>8.6999999999999993</c:v>
                </c:pt>
                <c:pt idx="8">
                  <c:v>6</c:v>
                </c:pt>
                <c:pt idx="9">
                  <c:v>4.4000000000000004</c:v>
                </c:pt>
                <c:pt idx="10">
                  <c:v>1.5</c:v>
                </c:pt>
                <c:pt idx="11">
                  <c:v>1.5</c:v>
                </c:pt>
                <c:pt idx="12">
                  <c:v>4.6999999999999886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A74-4B1E-8E3C-07D2E465B0E6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Доля от общего объема инвестиций в 2023 году, %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9402421597972397E-3"/>
                  <c:y val="1.486069049061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A74-4B1E-8E3C-07D2E465B0E6}"/>
                </c:ext>
              </c:extLst>
            </c:dLbl>
            <c:dLbl>
              <c:idx val="1"/>
              <c:layout>
                <c:manualLayout>
                  <c:x val="5.6011949215832536E-3"/>
                  <c:y val="6.92281066112835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34A-4704-BB64-15E20B3AB386}"/>
                </c:ext>
              </c:extLst>
            </c:dLbl>
            <c:dLbl>
              <c:idx val="2"/>
              <c:layout>
                <c:manualLayout>
                  <c:x val="3.7619629097164643E-3"/>
                  <c:y val="6.92281066112835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A74-4B1E-8E3C-07D2E465B0E6}"/>
                </c:ext>
              </c:extLst>
            </c:dLbl>
            <c:dLbl>
              <c:idx val="3"/>
              <c:layout>
                <c:manualLayout>
                  <c:x val="1.9442467936466525E-3"/>
                  <c:y val="6.8317784264505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A74-4B1E-8E3C-07D2E465B0E6}"/>
                </c:ext>
              </c:extLst>
            </c:dLbl>
            <c:dLbl>
              <c:idx val="4"/>
              <c:layout>
                <c:manualLayout>
                  <c:x val="1.9526265340805513E-3"/>
                  <c:y val="6.92281066112841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A74-4B1E-8E3C-07D2E465B0E6}"/>
                </c:ext>
              </c:extLst>
            </c:dLbl>
            <c:dLbl>
              <c:idx val="5"/>
              <c:layout>
                <c:manualLayout>
                  <c:x val="1.9526265340804828E-3"/>
                  <c:y val="3.4614053305642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A74-4B1E-8E3C-07D2E465B0E6}"/>
                </c:ext>
              </c:extLst>
            </c:dLbl>
            <c:dLbl>
              <c:idx val="6"/>
              <c:layout>
                <c:manualLayout>
                  <c:x val="-9.0854027861901881E-5"/>
                  <c:y val="1.0384215991692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3BE-40F4-BE19-C960880EBBB3}"/>
                </c:ext>
              </c:extLst>
            </c:dLbl>
            <c:dLbl>
              <c:idx val="7"/>
              <c:layout>
                <c:manualLayout>
                  <c:x val="1.948510170358516E-3"/>
                  <c:y val="6.92281066112841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A74-4B1E-8E3C-07D2E465B0E6}"/>
                </c:ext>
              </c:extLst>
            </c:dLbl>
            <c:dLbl>
              <c:idx val="8"/>
              <c:layout>
                <c:manualLayout>
                  <c:x val="2.0725891339757412E-3"/>
                  <c:y val="6.8317784264504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3BE-40F4-BE19-C960880EBBB3}"/>
                </c:ext>
              </c:extLst>
            </c:dLbl>
            <c:dLbl>
              <c:idx val="9"/>
              <c:layout>
                <c:manualLayout>
                  <c:x val="-1.3691651641186548E-16"/>
                  <c:y val="1.0384215991692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A74-4B1E-8E3C-07D2E465B0E6}"/>
                </c:ext>
              </c:extLst>
            </c:dLbl>
            <c:dLbl>
              <c:idx val="10"/>
              <c:layout>
                <c:manualLayout>
                  <c:x val="-1.3691651641186548E-16"/>
                  <c:y val="1.0384215991692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3BE-40F4-BE19-C960880EBBB3}"/>
                </c:ext>
              </c:extLst>
            </c:dLbl>
            <c:dLbl>
              <c:idx val="11"/>
              <c:layout>
                <c:manualLayout>
                  <c:x val="1.9870275737562801E-3"/>
                  <c:y val="1.047524822637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60-4356-8AB2-63A38319F6C2}"/>
                </c:ext>
              </c:extLst>
            </c:dLbl>
            <c:dLbl>
              <c:idx val="12"/>
              <c:layout>
                <c:manualLayout>
                  <c:x val="1.8670649738610904E-3"/>
                  <c:y val="6.9228106611282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34A-4704-BB64-15E20B3AB386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22.2</c:v>
                </c:pt>
                <c:pt idx="1">
                  <c:v>11.1</c:v>
                </c:pt>
                <c:pt idx="2">
                  <c:v>9.9</c:v>
                </c:pt>
                <c:pt idx="3">
                  <c:v>8.9</c:v>
                </c:pt>
                <c:pt idx="4">
                  <c:v>8.8000000000000007</c:v>
                </c:pt>
                <c:pt idx="5">
                  <c:v>6.7</c:v>
                </c:pt>
                <c:pt idx="6">
                  <c:v>6.7</c:v>
                </c:pt>
                <c:pt idx="7">
                  <c:v>6.5</c:v>
                </c:pt>
                <c:pt idx="8">
                  <c:v>5.5</c:v>
                </c:pt>
                <c:pt idx="9">
                  <c:v>3.3</c:v>
                </c:pt>
                <c:pt idx="10">
                  <c:v>2.7</c:v>
                </c:pt>
                <c:pt idx="11">
                  <c:v>2</c:v>
                </c:pt>
                <c:pt idx="12">
                  <c:v>5.7000000000000028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FA74-4B1E-8E3C-07D2E465B0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1"/>
        <c:axId val="78978048"/>
        <c:axId val="82838080"/>
      </c:barChart>
      <c:lineChart>
        <c:grouping val="standard"/>
        <c:varyColors val="0"/>
        <c:ser>
          <c:idx val="2"/>
          <c:order val="2"/>
          <c:tx>
            <c:strRef>
              <c:f>Лист1!$E$1</c:f>
              <c:strCache>
                <c:ptCount val="1"/>
                <c:pt idx="0">
                  <c:v>ИФО, %</c:v>
                </c:pt>
              </c:strCache>
            </c:strRef>
          </c:tx>
          <c:spPr>
            <a:ln w="28575" cap="rnd" cmpd="sng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-3.0545329985357507E-2"/>
                  <c:y val="3.7704758059088767E-2"/>
                </c:manualLayout>
              </c:layout>
              <c:numFmt formatCode="#,##0.0" sourceLinked="0"/>
              <c:spPr>
                <a:solidFill>
                  <a:srgbClr val="FFFFFF">
                    <a:alpha val="0"/>
                  </a:srgbClr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0-98D8-4164-8498-B65BF5C28664}"/>
                </c:ext>
              </c:extLst>
            </c:dLbl>
            <c:dLbl>
              <c:idx val="7"/>
              <c:layout>
                <c:manualLayout>
                  <c:x val="-3.0545329985357576E-2"/>
                  <c:y val="3.7704758059088767E-2"/>
                </c:manualLayout>
              </c:layout>
              <c:numFmt formatCode="#,##0.0" sourceLinked="0"/>
              <c:spPr>
                <a:solidFill>
                  <a:srgbClr val="FFFFFF">
                    <a:alpha val="0"/>
                  </a:srgbClr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98D8-4164-8498-B65BF5C28664}"/>
                </c:ext>
              </c:extLst>
            </c:dLbl>
            <c:dLbl>
              <c:idx val="9"/>
              <c:layout>
                <c:manualLayout>
                  <c:x val="-2.8678265011496416E-2"/>
                  <c:y val="4.3706171343966621E-2"/>
                </c:manualLayout>
              </c:layout>
              <c:numFmt formatCode="#,##0.0" sourceLinked="0"/>
              <c:spPr>
                <a:solidFill>
                  <a:srgbClr val="FFFFFF">
                    <a:alpha val="0"/>
                  </a:srgbClr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2-98D8-4164-8498-B65BF5C28664}"/>
                </c:ext>
              </c:extLst>
            </c:dLbl>
            <c:dLbl>
              <c:idx val="10"/>
              <c:layout>
                <c:manualLayout>
                  <c:x val="-3.10531768539767E-2"/>
                  <c:y val="3.42340670765463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D8-4164-8498-B65BF5C28664}"/>
                </c:ext>
              </c:extLst>
            </c:dLbl>
            <c:numFmt formatCode="#,##0.0" sourceLinked="0"/>
            <c:spPr>
              <a:solidFill>
                <a:srgbClr val="FFFFFF">
                  <a:alpha val="0"/>
                </a:srgb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B05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103.2</c:v>
                </c:pt>
                <c:pt idx="1">
                  <c:v>121.3</c:v>
                </c:pt>
                <c:pt idx="2">
                  <c:v>78.5</c:v>
                </c:pt>
                <c:pt idx="3">
                  <c:v>116.2</c:v>
                </c:pt>
                <c:pt idx="4">
                  <c:v>124.4</c:v>
                </c:pt>
                <c:pt idx="5">
                  <c:v>131.30000000000001</c:v>
                </c:pt>
                <c:pt idx="6">
                  <c:v>119.9</c:v>
                </c:pt>
                <c:pt idx="7">
                  <c:v>81</c:v>
                </c:pt>
                <c:pt idx="8">
                  <c:v>100.4</c:v>
                </c:pt>
                <c:pt idx="9">
                  <c:v>77.8</c:v>
                </c:pt>
                <c:pt idx="10">
                  <c:v>190</c:v>
                </c:pt>
                <c:pt idx="11">
                  <c:v>144.69999999999999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1-FA74-4B1E-8E3C-07D2E465B0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978560"/>
        <c:axId val="82838656"/>
      </c:lineChart>
      <c:valAx>
        <c:axId val="82838080"/>
        <c:scaling>
          <c:orientation val="minMax"/>
          <c:max val="35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978048"/>
        <c:crosses val="max"/>
        <c:crossBetween val="between"/>
      </c:valAx>
      <c:catAx>
        <c:axId val="7897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838080"/>
        <c:crosses val="autoZero"/>
        <c:auto val="0"/>
        <c:lblAlgn val="ctr"/>
        <c:lblOffset val="100"/>
        <c:noMultiLvlLbl val="0"/>
      </c:catAx>
      <c:valAx>
        <c:axId val="82838656"/>
        <c:scaling>
          <c:orientation val="minMax"/>
          <c:max val="191"/>
          <c:min val="-13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978560"/>
        <c:crosses val="autoZero"/>
        <c:crossBetween val="between"/>
      </c:valAx>
      <c:catAx>
        <c:axId val="789785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28386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8920807042510378E-3"/>
          <c:y val="0.82614543374385896"/>
          <c:w val="0.99014983563947701"/>
          <c:h val="0.173854566256141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393177421156936E-2"/>
          <c:y val="2.0584301576262197E-2"/>
          <c:w val="0.9393824278313232"/>
          <c:h val="0.721061411486627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Доля от объема инвестиций в обрабатывающие производства в 2022 году, %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5914158879171683E-3"/>
                  <c:y val="-1.4322375854963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C8-498D-82D0-C947937F070E}"/>
                </c:ext>
              </c:extLst>
            </c:dLbl>
            <c:dLbl>
              <c:idx val="1"/>
              <c:layout>
                <c:manualLayout>
                  <c:x val="-3.4202039713850736E-3"/>
                  <c:y val="1.088160768044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C8-498D-82D0-C947937F070E}"/>
                </c:ext>
              </c:extLst>
            </c:dLbl>
            <c:dLbl>
              <c:idx val="2"/>
              <c:layout>
                <c:manualLayout>
                  <c:x val="-5.7838820043544454E-3"/>
                  <c:y val="1.3825001337464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9C8-498D-82D0-C947937F070E}"/>
                </c:ext>
              </c:extLst>
            </c:dLbl>
            <c:dLbl>
              <c:idx val="3"/>
              <c:layout>
                <c:manualLayout>
                  <c:x val="-3.3090248796660525E-3"/>
                  <c:y val="1.23533045089559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C8-498D-82D0-C947937F070E}"/>
                </c:ext>
              </c:extLst>
            </c:dLbl>
            <c:dLbl>
              <c:idx val="4"/>
              <c:layout>
                <c:manualLayout>
                  <c:x val="-2.0256355689426556E-3"/>
                  <c:y val="8.23553633930409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9C8-498D-82D0-C947937F070E}"/>
                </c:ext>
              </c:extLst>
            </c:dLbl>
            <c:dLbl>
              <c:idx val="5"/>
              <c:layout>
                <c:manualLayout>
                  <c:x val="-2.0790020790020791E-3"/>
                  <c:y val="8.23553633930409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C8-498D-82D0-C947937F070E}"/>
                </c:ext>
              </c:extLst>
            </c:dLbl>
            <c:dLbl>
              <c:idx val="6"/>
              <c:layout>
                <c:manualLayout>
                  <c:x val="-3.9023032723820125E-3"/>
                  <c:y val="1.1547907963017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F9C8-498D-82D0-C947937F070E}"/>
                </c:ext>
              </c:extLst>
            </c:dLbl>
            <c:dLbl>
              <c:idx val="7"/>
              <c:layout>
                <c:manualLayout>
                  <c:x val="-1.9226848280121675E-3"/>
                  <c:y val="4.77401720708313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9C8-498D-82D0-C947937F070E}"/>
                </c:ext>
              </c:extLst>
            </c:dLbl>
            <c:dLbl>
              <c:idx val="8"/>
              <c:layout>
                <c:manualLayout>
                  <c:x val="-2.0642871599695586E-3"/>
                  <c:y val="8.23553633930409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9C8-498D-82D0-C947937F070E}"/>
                </c:ext>
              </c:extLst>
            </c:dLbl>
            <c:dLbl>
              <c:idx val="9"/>
              <c:layout>
                <c:manualLayout>
                  <c:x val="0"/>
                  <c:y val="4.1177681696519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9C8-498D-82D0-C947937F070E}"/>
                </c:ext>
              </c:extLst>
            </c:dLbl>
            <c:dLbl>
              <c:idx val="10"/>
              <c:layout>
                <c:manualLayout>
                  <c:x val="-1.9098390468431765E-3"/>
                  <c:y val="8.23553633930409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9C8-498D-82D0-C947937F070E}"/>
                </c:ext>
              </c:extLst>
            </c:dLbl>
            <c:dLbl>
              <c:idx val="11"/>
              <c:layout>
                <c:manualLayout>
                  <c:x val="-3.7330437555686833E-3"/>
                  <c:y val="9.0409328852423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9C8-498D-82D0-C947937F070E}"/>
                </c:ext>
              </c:extLst>
            </c:dLbl>
            <c:dLbl>
              <c:idx val="12"/>
              <c:layout>
                <c:manualLayout>
                  <c:x val="-1.9870631034062977E-3"/>
                  <c:y val="4.11776816965204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9C8-498D-82D0-C947937F070E}"/>
                </c:ext>
              </c:extLst>
            </c:dLbl>
            <c:dLbl>
              <c:idx val="13"/>
              <c:layout>
                <c:manualLayout>
                  <c:x val="-4.8081004473684019E-6"/>
                  <c:y val="1.5158250370031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F9C8-498D-82D0-C947937F07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Лист1!$C$2:$C$15</c:f>
              <c:numCache>
                <c:formatCode>0.0</c:formatCode>
                <c:ptCount val="14"/>
                <c:pt idx="0">
                  <c:v>16.292864003322691</c:v>
                </c:pt>
                <c:pt idx="1">
                  <c:v>14.591283129558965</c:v>
                </c:pt>
                <c:pt idx="2">
                  <c:v>5.8030267632323547</c:v>
                </c:pt>
                <c:pt idx="3">
                  <c:v>8.0004153362926047</c:v>
                </c:pt>
                <c:pt idx="4">
                  <c:v>6.7933442359110146</c:v>
                </c:pt>
                <c:pt idx="5">
                  <c:v>5.647275653505698</c:v>
                </c:pt>
                <c:pt idx="6">
                  <c:v>3.2850504893180696</c:v>
                </c:pt>
                <c:pt idx="7">
                  <c:v>4.5933598110219869</c:v>
                </c:pt>
                <c:pt idx="8">
                  <c:v>3.7003867819224876</c:v>
                </c:pt>
                <c:pt idx="9">
                  <c:v>3.7094722633232093</c:v>
                </c:pt>
                <c:pt idx="10">
                  <c:v>1.8768008722062146</c:v>
                </c:pt>
                <c:pt idx="11">
                  <c:v>3.5705941904836074</c:v>
                </c:pt>
                <c:pt idx="12">
                  <c:v>1.4</c:v>
                </c:pt>
                <c:pt idx="13">
                  <c:v>20.736126469901095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9C8-498D-82D0-C947937F070E}"/>
            </c:ext>
          </c:extLst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Доля от объема инвестиций в обрабатывающие производства в 2023 году,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55754357153213E-3"/>
                  <c:y val="1.2055657959370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9C8-498D-82D0-C947937F070E}"/>
                </c:ext>
              </c:extLst>
            </c:dLbl>
            <c:dLbl>
              <c:idx val="1"/>
              <c:layout>
                <c:manualLayout>
                  <c:x val="1.7083781901558652E-4"/>
                  <c:y val="-8.23553633930409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F9C8-498D-82D0-C947937F070E}"/>
                </c:ext>
              </c:extLst>
            </c:dLbl>
            <c:dLbl>
              <c:idx val="2"/>
              <c:layout>
                <c:manualLayout>
                  <c:x val="-2.2643148043666569E-4"/>
                  <c:y val="1.5158250370031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9C8-498D-82D0-C947937F070E}"/>
                </c:ext>
              </c:extLst>
            </c:dLbl>
            <c:dLbl>
              <c:idx val="3"/>
              <c:layout>
                <c:manualLayout>
                  <c:x val="4.1890575146474532E-4"/>
                  <c:y val="8.80099993677442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9C8-498D-82D0-C947937F070E}"/>
                </c:ext>
              </c:extLst>
            </c:dLbl>
            <c:dLbl>
              <c:idx val="4"/>
              <c:layout>
                <c:manualLayout>
                  <c:x val="3.819634292075237E-3"/>
                  <c:y val="1.2353304508956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9C8-498D-82D0-C947937F070E}"/>
                </c:ext>
              </c:extLst>
            </c:dLbl>
            <c:dLbl>
              <c:idx val="5"/>
              <c:layout>
                <c:manualLayout>
                  <c:x val="3.7330437555686833E-3"/>
                  <c:y val="6.92271403072755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9C8-498D-82D0-C947937F070E}"/>
                </c:ext>
              </c:extLst>
            </c:dLbl>
            <c:dLbl>
              <c:idx val="6"/>
              <c:layout>
                <c:manualLayout>
                  <c:x val="1.9485324209733658E-3"/>
                  <c:y val="8.23553633930409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9C8-498D-82D0-C947937F070E}"/>
                </c:ext>
              </c:extLst>
            </c:dLbl>
            <c:dLbl>
              <c:idx val="7"/>
              <c:layout>
                <c:manualLayout>
                  <c:x val="1.648795979504641E-3"/>
                  <c:y val="1.29187681064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9C8-498D-82D0-C947937F070E}"/>
                </c:ext>
              </c:extLst>
            </c:dLbl>
            <c:dLbl>
              <c:idx val="8"/>
              <c:layout>
                <c:manualLayout>
                  <c:x val="3.7939865313478139E-3"/>
                  <c:y val="8.23553633930409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9C8-498D-82D0-C947937F070E}"/>
                </c:ext>
              </c:extLst>
            </c:dLbl>
            <c:dLbl>
              <c:idx val="9"/>
              <c:layout>
                <c:manualLayout>
                  <c:x val="3.8164297299874569E-3"/>
                  <c:y val="8.2355363393040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9C8-498D-82D0-C947937F070E}"/>
                </c:ext>
              </c:extLst>
            </c:dLbl>
            <c:dLbl>
              <c:idx val="10"/>
              <c:layout>
                <c:manualLayout>
                  <c:x val="0"/>
                  <c:y val="8.23553633930409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D1-434A-A6F0-7FF76436CDDB}"/>
                </c:ext>
              </c:extLst>
            </c:dLbl>
            <c:dLbl>
              <c:idx val="11"/>
              <c:layout>
                <c:manualLayout>
                  <c:x val="1.9870631034062977E-3"/>
                  <c:y val="7.67007274183376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9C8-498D-82D0-C947937F070E}"/>
                </c:ext>
              </c:extLst>
            </c:dLbl>
            <c:dLbl>
              <c:idx val="12"/>
              <c:layout>
                <c:manualLayout>
                  <c:x val="3.8196780936860745E-3"/>
                  <c:y val="8.23553633930409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F9C8-498D-82D0-C947937F070E}"/>
                </c:ext>
              </c:extLst>
            </c:dLbl>
            <c:dLbl>
              <c:idx val="13"/>
              <c:layout>
                <c:manualLayout>
                  <c:x val="0"/>
                  <c:y val="4.11776816965189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F9C8-498D-82D0-C947937F07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Лист1!$D$2:$D$15</c:f>
              <c:numCache>
                <c:formatCode>0.0</c:formatCode>
                <c:ptCount val="14"/>
                <c:pt idx="0">
                  <c:v>16.032246689130947</c:v>
                </c:pt>
                <c:pt idx="1">
                  <c:v>15.361256954784109</c:v>
                </c:pt>
                <c:pt idx="2">
                  <c:v>11.317686701669148</c:v>
                </c:pt>
                <c:pt idx="3">
                  <c:v>10.810281325914897</c:v>
                </c:pt>
                <c:pt idx="4">
                  <c:v>9.0030170049369165</c:v>
                </c:pt>
                <c:pt idx="5">
                  <c:v>4.7860669226549639</c:v>
                </c:pt>
                <c:pt idx="6">
                  <c:v>4.4020844761382332</c:v>
                </c:pt>
                <c:pt idx="7">
                  <c:v>4.031815688425672</c:v>
                </c:pt>
                <c:pt idx="8">
                  <c:v>3.854517671028916</c:v>
                </c:pt>
                <c:pt idx="9">
                  <c:v>3.6448946007366194</c:v>
                </c:pt>
                <c:pt idx="10">
                  <c:v>2.6398793198025232</c:v>
                </c:pt>
                <c:pt idx="11">
                  <c:v>2.5673928375519162</c:v>
                </c:pt>
                <c:pt idx="12">
                  <c:v>2</c:v>
                </c:pt>
                <c:pt idx="13">
                  <c:v>9.5488598072251563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F9C8-498D-82D0-C947937F07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1"/>
        <c:axId val="79025152"/>
        <c:axId val="82841536"/>
      </c:barChart>
      <c:lineChart>
        <c:grouping val="standard"/>
        <c:varyColors val="0"/>
        <c:ser>
          <c:idx val="2"/>
          <c:order val="2"/>
          <c:tx>
            <c:strRef>
              <c:f>Лист1!$E$1</c:f>
              <c:strCache>
                <c:ptCount val="1"/>
                <c:pt idx="0">
                  <c:v>ИФО, %</c:v>
                </c:pt>
              </c:strCache>
            </c:strRef>
          </c:tx>
          <c:spPr>
            <a:ln w="28575" cap="rnd" cmpd="sng">
              <a:solidFill>
                <a:schemeClr val="accent5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accent5">
                    <a:lumMod val="750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0851974030610298E-2"/>
                  <c:y val="2.635793132405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F9C8-498D-82D0-C947937F070E}"/>
                </c:ext>
              </c:extLst>
            </c:dLbl>
            <c:dLbl>
              <c:idx val="2"/>
              <c:layout>
                <c:manualLayout>
                  <c:x val="-4.0851974030610298E-2"/>
                  <c:y val="3.8711235833013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F9C8-498D-82D0-C947937F070E}"/>
                </c:ext>
              </c:extLst>
            </c:dLbl>
            <c:dLbl>
              <c:idx val="4"/>
              <c:layout>
                <c:manualLayout>
                  <c:x val="-4.1093632497349909E-2"/>
                  <c:y val="-3.5408591220723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F9C8-498D-82D0-C947937F070E}"/>
                </c:ext>
              </c:extLst>
            </c:dLbl>
            <c:dLbl>
              <c:idx val="5"/>
              <c:layout>
                <c:manualLayout>
                  <c:x val="-3.723993998889636E-2"/>
                  <c:y val="3.8711235833013155E-2"/>
                </c:manualLayout>
              </c:layout>
              <c:numFmt formatCode="0.0%" sourceLinked="0"/>
              <c:spPr>
                <a:solidFill>
                  <a:srgbClr val="FFFFFF">
                    <a:alpha val="0"/>
                  </a:srgbClr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4FD1-434A-A6F0-7FF76436CDDB}"/>
                </c:ext>
              </c:extLst>
            </c:dLbl>
            <c:dLbl>
              <c:idx val="6"/>
              <c:layout>
                <c:manualLayout>
                  <c:x val="-4.3001847362343776E-2"/>
                  <c:y val="-3.9526359390375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FD8-4271-A01E-BED5D5322A00}"/>
                </c:ext>
              </c:extLst>
            </c:dLbl>
            <c:dLbl>
              <c:idx val="7"/>
              <c:layout>
                <c:manualLayout>
                  <c:x val="-4.1093632497349979E-2"/>
                  <c:y val="5.10645403419692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D1-434A-A6F0-7FF76436CDDB}"/>
                </c:ext>
              </c:extLst>
            </c:dLbl>
            <c:dLbl>
              <c:idx val="8"/>
              <c:layout>
                <c:manualLayout>
                  <c:x val="-4.4668455179864348E-2"/>
                  <c:y val="-3.1290823051071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D8-4271-A01E-BED5D5322A00}"/>
                </c:ext>
              </c:extLst>
            </c:dLbl>
            <c:dLbl>
              <c:idx val="9"/>
              <c:layout>
                <c:manualLayout>
                  <c:x val="-4.1093632497349909E-2"/>
                  <c:y val="3.04756994937090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F9C8-498D-82D0-C947937F070E}"/>
                </c:ext>
              </c:extLst>
            </c:dLbl>
            <c:dLbl>
              <c:idx val="11"/>
              <c:layout>
                <c:manualLayout>
                  <c:x val="-3.5331725123902494E-2"/>
                  <c:y val="3.8711235833013155E-2"/>
                </c:manualLayout>
              </c:layout>
              <c:numFmt formatCode="0.0%" sourceLinked="0"/>
              <c:spPr>
                <a:solidFill>
                  <a:srgbClr val="FFFFFF">
                    <a:alpha val="0"/>
                  </a:srgbClr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4FD1-434A-A6F0-7FF76436CDDB}"/>
                </c:ext>
              </c:extLst>
            </c:dLbl>
            <c:dLbl>
              <c:idx val="12"/>
              <c:layout>
                <c:manualLayout>
                  <c:x val="-4.0852025449876678E-2"/>
                  <c:y val="-3.54085912207237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FD8-4271-A01E-BED5D5322A00}"/>
                </c:ext>
              </c:extLst>
            </c:dLbl>
            <c:numFmt formatCode="0.0%" sourceLinked="0"/>
            <c:spPr>
              <a:solidFill>
                <a:srgbClr val="FFFFFF">
                  <a:alpha val="0"/>
                </a:srgb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00B05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Лист1!$E$2:$E$15</c:f>
              <c:numCache>
                <c:formatCode>0.0%</c:formatCode>
                <c:ptCount val="14"/>
                <c:pt idx="0">
                  <c:v>1.1950000000000001</c:v>
                </c:pt>
                <c:pt idx="1">
                  <c:v>1.3839999999999999</c:v>
                </c:pt>
                <c:pt idx="2">
                  <c:v>1.2649999999999999</c:v>
                </c:pt>
                <c:pt idx="3">
                  <c:v>1.157</c:v>
                </c:pt>
                <c:pt idx="4">
                  <c:v>1.7</c:v>
                </c:pt>
                <c:pt idx="5">
                  <c:v>0.98399999999999999</c:v>
                </c:pt>
                <c:pt idx="6">
                  <c:v>1.5</c:v>
                </c:pt>
                <c:pt idx="7">
                  <c:v>1.087</c:v>
                </c:pt>
                <c:pt idx="8">
                  <c:v>1.1819999999999999</c:v>
                </c:pt>
                <c:pt idx="9">
                  <c:v>1.169</c:v>
                </c:pt>
                <c:pt idx="10">
                  <c:v>1.6</c:v>
                </c:pt>
                <c:pt idx="11">
                  <c:v>0.89500000000000002</c:v>
                </c:pt>
                <c:pt idx="12">
                  <c:v>1.264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B-F9C8-498D-82D0-C947937F07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026176"/>
        <c:axId val="82842112"/>
      </c:lineChart>
      <c:valAx>
        <c:axId val="82841536"/>
        <c:scaling>
          <c:orientation val="minMax"/>
          <c:max val="35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9025152"/>
        <c:crosses val="max"/>
        <c:crossBetween val="between"/>
      </c:valAx>
      <c:catAx>
        <c:axId val="79025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841536"/>
        <c:crosses val="autoZero"/>
        <c:auto val="0"/>
        <c:lblAlgn val="ctr"/>
        <c:lblOffset val="100"/>
        <c:noMultiLvlLbl val="0"/>
      </c:catAx>
      <c:valAx>
        <c:axId val="82842112"/>
        <c:scaling>
          <c:orientation val="minMax"/>
          <c:max val="2.5"/>
          <c:min val="-2"/>
        </c:scaling>
        <c:delete val="0"/>
        <c:axPos val="l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9026176"/>
        <c:crosses val="autoZero"/>
        <c:crossBetween val="between"/>
      </c:valAx>
      <c:catAx>
        <c:axId val="790261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28421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3291069468694423"/>
          <c:w val="0.99888902829041226"/>
          <c:h val="0.145193154129359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457789840987843E-2"/>
          <c:y val="2.4933522653930548E-2"/>
          <c:w val="0.45240572295768866"/>
          <c:h val="0.9148533923801769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собственные средства предприятий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2022</c:v>
                </c:pt>
                <c:pt idx="1">
                  <c:v>2023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58.7</c:v>
                </c:pt>
                <c:pt idx="1">
                  <c:v>62.2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CB-40EA-941F-9F2C414C8FA7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бюджетные средства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2022</c:v>
                </c:pt>
                <c:pt idx="1">
                  <c:v>2023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22.9</c:v>
                </c:pt>
                <c:pt idx="1">
                  <c:v>22.5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CCB-40EA-941F-9F2C414C8FA7}"/>
            </c:ext>
          </c:extLst>
        </c:ser>
        <c:ser>
          <c:idx val="3"/>
          <c:order val="2"/>
          <c:tx>
            <c:strRef>
              <c:f>Лист1!$A$4</c:f>
              <c:strCache>
                <c:ptCount val="1"/>
                <c:pt idx="0">
                  <c:v>кредиты банков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4.9965084639649402E-5"/>
                  <c:y val="-1.919582537389926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CCB-40EA-941F-9F2C414C8FA7}"/>
                </c:ext>
              </c:extLst>
            </c:dLbl>
            <c:dLbl>
              <c:idx val="1"/>
              <c:layout>
                <c:manualLayout>
                  <c:x val="-5.1018565339953052E-5"/>
                  <c:y val="1.9053508575010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CCB-40EA-941F-9F2C414C8F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2022</c:v>
                </c:pt>
                <c:pt idx="1">
                  <c:v>2023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8.9</c:v>
                </c:pt>
                <c:pt idx="1">
                  <c:v>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CCB-40EA-941F-9F2C414C8FA7}"/>
            </c:ext>
          </c:extLst>
        </c:ser>
        <c:ser>
          <c:idx val="4"/>
          <c:order val="3"/>
          <c:tx>
            <c:strRef>
              <c:f>Лист1!$A$5</c:f>
              <c:strCache>
                <c:ptCount val="1"/>
                <c:pt idx="0">
                  <c:v>заемные средства других организаций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1.7718441461627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B3-4054-83DA-DCD225D73397}"/>
                </c:ext>
              </c:extLst>
            </c:dLbl>
            <c:dLbl>
              <c:idx val="1"/>
              <c:layout>
                <c:manualLayout>
                  <c:x val="0"/>
                  <c:y val="-2.23689567177368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B3-4054-83DA-DCD225D733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2022</c:v>
                </c:pt>
                <c:pt idx="1">
                  <c:v>2023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4.5</c:v>
                </c:pt>
                <c:pt idx="1">
                  <c:v>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CCB-40EA-941F-9F2C414C8FA7}"/>
            </c:ext>
          </c:extLst>
        </c:ser>
        <c:ser>
          <c:idx val="5"/>
          <c:order val="4"/>
          <c:tx>
            <c:strRef>
              <c:f>Лист1!$A$6</c:f>
              <c:strCache>
                <c:ptCount val="1"/>
                <c:pt idx="0">
                  <c:v>средства внебюджетных фондов</c:v>
                </c:pt>
              </c:strCache>
            </c:strRef>
          </c:tx>
          <c:spPr>
            <a:solidFill>
              <a:srgbClr val="AFD7FF"/>
            </a:solidFill>
          </c:spPr>
          <c:invertIfNegative val="0"/>
          <c:dLbls>
            <c:dLbl>
              <c:idx val="0"/>
              <c:layout>
                <c:manualLayout>
                  <c:x val="0.10703363914373085"/>
                  <c:y val="8.60680561209798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CCB-40EA-941F-9F2C414C8FA7}"/>
                </c:ext>
              </c:extLst>
            </c:dLbl>
            <c:dLbl>
              <c:idx val="1"/>
              <c:layout>
                <c:manualLayout>
                  <c:x val="0.10703363914373089"/>
                  <c:y val="1.2910208418146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CCB-40EA-941F-9F2C414C8F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2022</c:v>
                </c:pt>
                <c:pt idx="1">
                  <c:v>2023</c:v>
                </c:pt>
              </c:strCache>
            </c:strRef>
          </c:cat>
          <c:val>
            <c:numRef>
              <c:f>Лист1!$B$6:$C$6</c:f>
              <c:numCache>
                <c:formatCode>0.0</c:formatCode>
                <c:ptCount val="2"/>
                <c:pt idx="0">
                  <c:v>0.3</c:v>
                </c:pt>
                <c:pt idx="1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CCB-40EA-941F-9F2C414C8FA7}"/>
            </c:ext>
          </c:extLst>
        </c:ser>
        <c:ser>
          <c:idx val="6"/>
          <c:order val="5"/>
          <c:tx>
            <c:strRef>
              <c:f>Лист1!$A$7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4.921259842519685E-5"/>
                  <c:y val="-3.2266584583610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CCB-40EA-941F-9F2C414C8FA7}"/>
                </c:ext>
              </c:extLst>
            </c:dLbl>
            <c:dLbl>
              <c:idx val="1"/>
              <c:layout>
                <c:manualLayout>
                  <c:x val="-6.7723759300729612E-6"/>
                  <c:y val="-5.520747485378955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CCB-40EA-941F-9F2C414C8F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6350"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2022</c:v>
                </c:pt>
                <c:pt idx="1">
                  <c:v>2023</c:v>
                </c:pt>
              </c:strCache>
            </c:strRef>
          </c:cat>
          <c:val>
            <c:numRef>
              <c:f>Лист1!$B$7:$C$7</c:f>
              <c:numCache>
                <c:formatCode>General</c:formatCode>
                <c:ptCount val="2"/>
                <c:pt idx="0">
                  <c:v>4.7000000000000028</c:v>
                </c:pt>
                <c:pt idx="1">
                  <c:v>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CCB-40EA-941F-9F2C414C8F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83955712"/>
        <c:axId val="82840384"/>
      </c:barChart>
      <c:catAx>
        <c:axId val="839557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2840384"/>
        <c:crosses val="autoZero"/>
        <c:auto val="1"/>
        <c:lblAlgn val="ctr"/>
        <c:lblOffset val="100"/>
        <c:noMultiLvlLbl val="0"/>
      </c:catAx>
      <c:valAx>
        <c:axId val="82840384"/>
        <c:scaling>
          <c:orientation val="minMax"/>
          <c:max val="100"/>
        </c:scaling>
        <c:delete val="1"/>
        <c:axPos val="l"/>
        <c:numFmt formatCode="General" sourceLinked="1"/>
        <c:majorTickMark val="none"/>
        <c:minorTickMark val="none"/>
        <c:tickLblPos val="nextTo"/>
        <c:crossAx val="83955712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62844036697247707"/>
          <c:y val="0.20697083734646665"/>
          <c:w val="0.33906727828746175"/>
          <c:h val="0.58416878094649138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020389109862002E-2"/>
          <c:y val="2.3291272344900107E-2"/>
          <c:w val="0.93930102196314158"/>
          <c:h val="0.613216920440150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машины и оборудование,
включая хоз. инвентарь
и др. объекты</c:v>
                </c:pt>
                <c:pt idx="1">
                  <c:v>здания (кроме жилых),
сооружения, расходы
на улучшение земель</c:v>
                </c:pt>
                <c:pt idx="2">
                  <c:v>объекты интеллектуальной
собственности </c:v>
                </c:pt>
                <c:pt idx="3">
                  <c:v>жилые здания
 и помещения</c:v>
                </c:pt>
                <c:pt idx="4">
                  <c:v>прочие инвестиции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53.6</c:v>
                </c:pt>
                <c:pt idx="1">
                  <c:v>27.800000000000004</c:v>
                </c:pt>
                <c:pt idx="2">
                  <c:v>7.3999999999999995</c:v>
                </c:pt>
                <c:pt idx="3">
                  <c:v>8.9</c:v>
                </c:pt>
                <c:pt idx="4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24-46F1-A3DF-D9CEF14F49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машины и оборудование,
включая хоз. инвентарь
и др. объекты</c:v>
                </c:pt>
                <c:pt idx="1">
                  <c:v>здания (кроме жилых),
сооружения, расходы
на улучшение земель</c:v>
                </c:pt>
                <c:pt idx="2">
                  <c:v>объекты интеллектуальной
собственности </c:v>
                </c:pt>
                <c:pt idx="3">
                  <c:v>жилые здания
 и помещения</c:v>
                </c:pt>
                <c:pt idx="4">
                  <c:v>прочие инвестиции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53.300000000000004</c:v>
                </c:pt>
                <c:pt idx="1">
                  <c:v>29.5</c:v>
                </c:pt>
                <c:pt idx="2">
                  <c:v>8.2000000000000011</c:v>
                </c:pt>
                <c:pt idx="3">
                  <c:v>7.3</c:v>
                </c:pt>
                <c:pt idx="4">
                  <c:v>1.7000000000000002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24-46F1-A3DF-D9CEF14F493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5"/>
        <c:overlap val="-5"/>
        <c:axId val="115604480"/>
        <c:axId val="82844992"/>
      </c:barChart>
      <c:catAx>
        <c:axId val="11560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2844992"/>
        <c:crosses val="autoZero"/>
        <c:auto val="1"/>
        <c:lblAlgn val="ctr"/>
        <c:lblOffset val="100"/>
        <c:noMultiLvlLbl val="0"/>
      </c:catAx>
      <c:valAx>
        <c:axId val="82844992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bg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560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563553453417536"/>
          <c:y val="0.91583223339857089"/>
          <c:w val="0.24480928369990007"/>
          <c:h val="8.41677666014291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ИАМ_ word">
  <a:themeElements>
    <a:clrScheme name="Другая 3">
      <a:dk1>
        <a:srgbClr val="292748"/>
      </a:dk1>
      <a:lt1>
        <a:srgbClr val="FEFFFF"/>
      </a:lt1>
      <a:dk2>
        <a:srgbClr val="16222C"/>
      </a:dk2>
      <a:lt2>
        <a:srgbClr val="FEFFFF"/>
      </a:lt2>
      <a:accent1>
        <a:srgbClr val="574DF7"/>
      </a:accent1>
      <a:accent2>
        <a:srgbClr val="22B7D8"/>
      </a:accent2>
      <a:accent3>
        <a:srgbClr val="C882E0"/>
      </a:accent3>
      <a:accent4>
        <a:srgbClr val="FC7875"/>
      </a:accent4>
      <a:accent5>
        <a:srgbClr val="5363BE"/>
      </a:accent5>
      <a:accent6>
        <a:srgbClr val="5C97FC"/>
      </a:accent6>
      <a:hlink>
        <a:srgbClr val="574DF7"/>
      </a:hlink>
      <a:folHlink>
        <a:srgbClr val="9A95CE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ИАМ_v1" id="{039DD1A6-BB4C-4224-8F7E-8C000E205543}" vid="{4BB0E12E-856A-4E32-859B-C70BE5B6CFF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500E0-50C2-457F-8F71-789583BB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Максим Сергеевич</dc:creator>
  <cp:lastModifiedBy>UI01</cp:lastModifiedBy>
  <cp:revision>5</cp:revision>
  <cp:lastPrinted>2024-03-28T14:33:00Z</cp:lastPrinted>
  <dcterms:created xsi:type="dcterms:W3CDTF">2024-04-03T11:11:00Z</dcterms:created>
  <dcterms:modified xsi:type="dcterms:W3CDTF">2024-04-05T08:02:00Z</dcterms:modified>
</cp:coreProperties>
</file>