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8A" w:rsidRPr="007B72D8" w:rsidRDefault="00FE308A" w:rsidP="00751811">
      <w:pPr>
        <w:pStyle w:val="ab"/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6FBD" w:rsidRDefault="00AE638E" w:rsidP="000D35C9">
      <w:pPr>
        <w:pStyle w:val="afffff9"/>
        <w:spacing w:before="120" w:after="120" w:line="240" w:lineRule="auto"/>
        <w:jc w:val="both"/>
        <w:rPr>
          <w:b/>
          <w:szCs w:val="28"/>
        </w:rPr>
      </w:pPr>
      <w:bookmarkStart w:id="0" w:name="_GoBack"/>
      <w:r>
        <w:rPr>
          <w:b/>
          <w:szCs w:val="28"/>
        </w:rPr>
        <w:t>Аналитика</w:t>
      </w:r>
      <w:r w:rsidR="008B6FBD" w:rsidRPr="002A76FB">
        <w:rPr>
          <w:b/>
          <w:szCs w:val="28"/>
        </w:rPr>
        <w:t>:</w:t>
      </w:r>
    </w:p>
    <w:p w:rsidR="00F036A2" w:rsidRPr="00350968" w:rsidRDefault="00AE638E" w:rsidP="00350968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638E">
        <w:rPr>
          <w:rFonts w:ascii="Times New Roman" w:hAnsi="Times New Roman" w:cs="Times New Roman"/>
          <w:b/>
          <w:color w:val="auto"/>
          <w:sz w:val="28"/>
          <w:szCs w:val="28"/>
        </w:rPr>
        <w:t>Опубликован доклад о развитии сферы ГЧП в странах G20</w:t>
      </w:r>
    </w:p>
    <w:p w:rsidR="00350968" w:rsidRDefault="00975931" w:rsidP="00350968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E638E" w:rsidRPr="00AE638E">
        <w:rPr>
          <w:rFonts w:ascii="Times New Roman" w:hAnsi="Times New Roman" w:cs="Times New Roman"/>
          <w:color w:val="auto"/>
          <w:sz w:val="28"/>
          <w:szCs w:val="28"/>
        </w:rPr>
        <w:t>Группа двадцати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E638E" w:rsidRPr="00AE638E">
        <w:rPr>
          <w:rFonts w:ascii="Times New Roman" w:hAnsi="Times New Roman" w:cs="Times New Roman"/>
          <w:color w:val="auto"/>
          <w:sz w:val="28"/>
          <w:szCs w:val="28"/>
        </w:rPr>
        <w:t xml:space="preserve"> (G20) опубликовала доклад о развитии сферы ГЧП в странах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E638E" w:rsidRPr="00AE638E">
        <w:rPr>
          <w:rFonts w:ascii="Times New Roman" w:hAnsi="Times New Roman" w:cs="Times New Roman"/>
          <w:color w:val="auto"/>
          <w:sz w:val="28"/>
          <w:szCs w:val="28"/>
        </w:rPr>
        <w:t>двадцатки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E638E" w:rsidRPr="00AE638E">
        <w:rPr>
          <w:rFonts w:ascii="Times New Roman" w:hAnsi="Times New Roman" w:cs="Times New Roman"/>
          <w:color w:val="auto"/>
          <w:sz w:val="28"/>
          <w:szCs w:val="28"/>
        </w:rPr>
        <w:t>, подготовленный ВЭБ.РФ совместно с Минфином России и Национальным Центром ГЧП.</w:t>
      </w:r>
    </w:p>
    <w:p w:rsidR="00AE638E" w:rsidRPr="00350968" w:rsidRDefault="00AE638E" w:rsidP="0035096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E638E">
        <w:rPr>
          <w:rFonts w:ascii="Times New Roman" w:hAnsi="Times New Roman" w:cs="Times New Roman"/>
          <w:color w:val="auto"/>
          <w:sz w:val="28"/>
          <w:szCs w:val="28"/>
        </w:rPr>
        <w:t xml:space="preserve">В докладе описаны актуальные подходы к управлению инфраструктурным развитием, включая информацию об органах, ответственных за разработку и реализацию национальной инфраструктурной политики, нормативно-правовая база и используемые инструменты поддержки инфраструктурных проектов (включая проекты ГЧП), а также текущие подходы стран к продвижению </w:t>
      </w:r>
      <w:r w:rsidR="0097593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E638E">
        <w:rPr>
          <w:rFonts w:ascii="Times New Roman" w:hAnsi="Times New Roman" w:cs="Times New Roman"/>
          <w:color w:val="auto"/>
          <w:sz w:val="28"/>
          <w:szCs w:val="28"/>
        </w:rPr>
        <w:t>зеленых</w:t>
      </w:r>
      <w:r w:rsidR="0097593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E638E">
        <w:rPr>
          <w:rFonts w:ascii="Times New Roman" w:hAnsi="Times New Roman" w:cs="Times New Roman"/>
          <w:color w:val="auto"/>
          <w:sz w:val="28"/>
          <w:szCs w:val="28"/>
        </w:rPr>
        <w:t xml:space="preserve"> инфраструктурных инвестиций и использованию цифровых технологий для повышения эффективности инфраструктурной политики.</w:t>
      </w:r>
    </w:p>
    <w:p w:rsidR="00AE638E" w:rsidRDefault="00975931" w:rsidP="00AE638E">
      <w:pPr>
        <w:pBdr>
          <w:bottom w:val="single" w:sz="6" w:space="1" w:color="auto"/>
        </w:pBdr>
        <w:spacing w:before="120" w:after="120" w:line="240" w:lineRule="auto"/>
        <w:jc w:val="both"/>
        <w:rPr>
          <w:rStyle w:val="afff4"/>
          <w:rFonts w:ascii="Times New Roman" w:hAnsi="Times New Roman" w:cs="Times New Roman"/>
          <w:sz w:val="28"/>
          <w:szCs w:val="28"/>
        </w:rPr>
      </w:pPr>
      <w:hyperlink r:id="rId10" w:history="1">
        <w:r w:rsidR="00AE638E" w:rsidRPr="001268AF">
          <w:rPr>
            <w:rStyle w:val="afff4"/>
            <w:rFonts w:ascii="Times New Roman" w:hAnsi="Times New Roman" w:cs="Times New Roman"/>
            <w:sz w:val="28"/>
            <w:szCs w:val="28"/>
          </w:rPr>
          <w:t>https://rosinfra.ru/news/opublikovan-doklad-o-razvitii-sfery-gcp-v-stranah-g20</w:t>
        </w:r>
      </w:hyperlink>
    </w:p>
    <w:p w:rsidR="00AE638E" w:rsidRDefault="00AE638E" w:rsidP="00AE638E">
      <w:pPr>
        <w:pBdr>
          <w:bottom w:val="single" w:sz="6" w:space="1" w:color="auto"/>
        </w:pBdr>
        <w:spacing w:before="120" w:after="120" w:line="240" w:lineRule="auto"/>
        <w:jc w:val="both"/>
        <w:rPr>
          <w:rStyle w:val="afff4"/>
          <w:rFonts w:ascii="Times New Roman" w:hAnsi="Times New Roman" w:cs="Times New Roman"/>
          <w:sz w:val="28"/>
          <w:szCs w:val="28"/>
        </w:rPr>
      </w:pPr>
    </w:p>
    <w:p w:rsidR="00AE638E" w:rsidRDefault="00AE638E" w:rsidP="00AE638E">
      <w:pPr>
        <w:pBdr>
          <w:bottom w:val="single" w:sz="6" w:space="1" w:color="auto"/>
        </w:pBdr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63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Конкурсы за 1-19 января: объекты водоснабжения, системы </w:t>
      </w:r>
      <w:proofErr w:type="spellStart"/>
      <w:r w:rsidRPr="00AE638E">
        <w:rPr>
          <w:rFonts w:ascii="Times New Roman" w:hAnsi="Times New Roman" w:cs="Times New Roman"/>
          <w:b/>
          <w:color w:val="auto"/>
          <w:sz w:val="28"/>
          <w:szCs w:val="28"/>
        </w:rPr>
        <w:t>фотовидеофиксации</w:t>
      </w:r>
      <w:proofErr w:type="spellEnd"/>
      <w:r w:rsidRPr="00AE638E">
        <w:rPr>
          <w:rFonts w:ascii="Times New Roman" w:hAnsi="Times New Roman" w:cs="Times New Roman"/>
          <w:b/>
          <w:color w:val="auto"/>
          <w:sz w:val="28"/>
          <w:szCs w:val="28"/>
        </w:rPr>
        <w:t>, городской парк и мусороперегрузочная станция</w:t>
      </w:r>
    </w:p>
    <w:p w:rsidR="00AE638E" w:rsidRDefault="00AE638E" w:rsidP="00AE638E">
      <w:pPr>
        <w:pBdr>
          <w:bottom w:val="single" w:sz="6" w:space="1" w:color="auto"/>
        </w:pBd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638E">
        <w:rPr>
          <w:rFonts w:ascii="Times New Roman" w:hAnsi="Times New Roman" w:cs="Times New Roman"/>
          <w:color w:val="auto"/>
          <w:sz w:val="28"/>
          <w:szCs w:val="28"/>
        </w:rPr>
        <w:t xml:space="preserve">За период с 1 по 19 января на сайте torgi.gov.ru опубликовано 24 концессионных конкурса. Общая стоимость лотов составила не менее 584,3 млн руб., средний срок реализации – 10 лет. </w:t>
      </w:r>
    </w:p>
    <w:p w:rsidR="00AE638E" w:rsidRDefault="00975931" w:rsidP="00AE638E">
      <w:pPr>
        <w:pBdr>
          <w:bottom w:val="single" w:sz="6" w:space="1" w:color="auto"/>
        </w:pBd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1" w:history="1">
        <w:r w:rsidR="00AE638E" w:rsidRPr="001268AF">
          <w:rPr>
            <w:rStyle w:val="afff4"/>
            <w:rFonts w:ascii="Times New Roman" w:hAnsi="Times New Roman" w:cs="Times New Roman"/>
            <w:sz w:val="28"/>
            <w:szCs w:val="28"/>
          </w:rPr>
          <w:t>https://rosinfra.ru/news/konkursy-za-1-19-anvara-obekty-vodosnabzenia-sistemy-fotovideofiksacii-gorodskoj-park-i-musoroperegruzocnaa-stancia</w:t>
        </w:r>
      </w:hyperlink>
    </w:p>
    <w:p w:rsidR="00AE638E" w:rsidRPr="007B72D8" w:rsidRDefault="00AE638E" w:rsidP="00D84DB9">
      <w:pPr>
        <w:pBdr>
          <w:bottom w:val="single" w:sz="6" w:space="1" w:color="auto"/>
        </w:pBdr>
        <w:spacing w:before="120" w:after="120" w:line="240" w:lineRule="auto"/>
        <w:ind w:firstLine="720"/>
        <w:jc w:val="both"/>
        <w:rPr>
          <w:rStyle w:val="afff4"/>
          <w:rFonts w:ascii="Times New Roman" w:hAnsi="Times New Roman" w:cs="Times New Roman"/>
          <w:sz w:val="28"/>
          <w:szCs w:val="28"/>
        </w:rPr>
      </w:pPr>
    </w:p>
    <w:p w:rsidR="003E400A" w:rsidRDefault="003E400A" w:rsidP="00751811">
      <w:pPr>
        <w:pStyle w:val="afffff9"/>
        <w:spacing w:before="120" w:after="120" w:line="240" w:lineRule="auto"/>
        <w:ind w:firstLine="720"/>
        <w:jc w:val="both"/>
        <w:rPr>
          <w:b/>
          <w:szCs w:val="28"/>
        </w:rPr>
      </w:pPr>
    </w:p>
    <w:p w:rsidR="00FE308A" w:rsidRDefault="00FE308A" w:rsidP="000D35C9">
      <w:pPr>
        <w:pStyle w:val="afffff9"/>
        <w:spacing w:before="120" w:after="120" w:line="240" w:lineRule="auto"/>
        <w:jc w:val="both"/>
        <w:rPr>
          <w:szCs w:val="28"/>
        </w:rPr>
      </w:pPr>
      <w:r w:rsidRPr="002A76FB">
        <w:rPr>
          <w:b/>
          <w:szCs w:val="28"/>
        </w:rPr>
        <w:t xml:space="preserve">Новости </w:t>
      </w:r>
      <w:r w:rsidR="008B6FBD" w:rsidRPr="002A76FB">
        <w:rPr>
          <w:b/>
          <w:szCs w:val="28"/>
        </w:rPr>
        <w:t>по ГЧП и инвестициям</w:t>
      </w:r>
      <w:r w:rsidR="00864A7F" w:rsidRPr="007B72D8">
        <w:rPr>
          <w:szCs w:val="28"/>
        </w:rPr>
        <w:t>:</w:t>
      </w:r>
    </w:p>
    <w:p w:rsidR="004C5DB3" w:rsidRDefault="004C5DB3" w:rsidP="000D35C9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5DB3">
        <w:rPr>
          <w:rFonts w:ascii="Times New Roman" w:hAnsi="Times New Roman" w:cs="Times New Roman"/>
          <w:b/>
          <w:color w:val="auto"/>
          <w:sz w:val="28"/>
          <w:szCs w:val="28"/>
        </w:rPr>
        <w:t>Самарская область утвердила перечень объектов для передачи в концессию на 2020 год</w:t>
      </w:r>
    </w:p>
    <w:p w:rsidR="004C5DB3" w:rsidRPr="004C5DB3" w:rsidRDefault="004C5DB3" w:rsidP="004C5DB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C5DB3">
        <w:rPr>
          <w:rFonts w:ascii="Times New Roman" w:hAnsi="Times New Roman" w:cs="Times New Roman"/>
          <w:color w:val="auto"/>
          <w:sz w:val="28"/>
          <w:szCs w:val="28"/>
        </w:rPr>
        <w:t xml:space="preserve">Власти Самарской области определились с перечнем объектов, в отношении которых планируется заключить концессионные соглашения в 2020 году. В перечень вошли 43 объекта: детские и лечебно-оздоровительные лагеря в Анапе, самарская областная клиническая больница №2, хирургический онкологический </w:t>
      </w:r>
      <w:r w:rsidRPr="004C5DB3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корпус в Тольятти, детские поликлиники в Октябрьском и Советском районах Самары, отделения поликлиник, здание речного вокзала в Самаре, самарский театр кукол и другие.</w:t>
      </w:r>
    </w:p>
    <w:p w:rsidR="004C5DB3" w:rsidRPr="004C5DB3" w:rsidRDefault="004C5DB3" w:rsidP="004C5DB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C5DB3">
        <w:rPr>
          <w:rFonts w:ascii="Times New Roman" w:hAnsi="Times New Roman" w:cs="Times New Roman"/>
          <w:color w:val="auto"/>
          <w:sz w:val="28"/>
          <w:szCs w:val="28"/>
        </w:rPr>
        <w:t xml:space="preserve">Кроме этого, в Самаре запланировано строительство нового велотрека в районе стадиона </w:t>
      </w:r>
      <w:r w:rsidR="0097593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4C5DB3">
        <w:rPr>
          <w:rFonts w:ascii="Times New Roman" w:hAnsi="Times New Roman" w:cs="Times New Roman"/>
          <w:color w:val="auto"/>
          <w:sz w:val="28"/>
          <w:szCs w:val="28"/>
        </w:rPr>
        <w:t>Самара Арена</w:t>
      </w:r>
      <w:r w:rsidR="0097593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4C5DB3">
        <w:rPr>
          <w:rFonts w:ascii="Times New Roman" w:hAnsi="Times New Roman" w:cs="Times New Roman"/>
          <w:color w:val="auto"/>
          <w:sz w:val="28"/>
          <w:szCs w:val="28"/>
        </w:rPr>
        <w:t xml:space="preserve"> и открытие 10 станций </w:t>
      </w:r>
      <w:proofErr w:type="spellStart"/>
      <w:r w:rsidRPr="004C5DB3">
        <w:rPr>
          <w:rFonts w:ascii="Times New Roman" w:hAnsi="Times New Roman" w:cs="Times New Roman"/>
          <w:color w:val="auto"/>
          <w:sz w:val="28"/>
          <w:szCs w:val="28"/>
        </w:rPr>
        <w:t>велопроката</w:t>
      </w:r>
      <w:proofErr w:type="spellEnd"/>
      <w:r w:rsidRPr="004C5DB3">
        <w:rPr>
          <w:rFonts w:ascii="Times New Roman" w:hAnsi="Times New Roman" w:cs="Times New Roman"/>
          <w:color w:val="auto"/>
          <w:sz w:val="28"/>
          <w:szCs w:val="28"/>
        </w:rPr>
        <w:t xml:space="preserve">. Проект велотрека уже прошел </w:t>
      </w:r>
      <w:proofErr w:type="spellStart"/>
      <w:r w:rsidRPr="004C5DB3">
        <w:rPr>
          <w:rFonts w:ascii="Times New Roman" w:hAnsi="Times New Roman" w:cs="Times New Roman"/>
          <w:color w:val="auto"/>
          <w:sz w:val="28"/>
          <w:szCs w:val="28"/>
        </w:rPr>
        <w:t>госэкспертизу</w:t>
      </w:r>
      <w:proofErr w:type="spellEnd"/>
      <w:r w:rsidRPr="004C5DB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D35C9" w:rsidRPr="004C5DB3" w:rsidRDefault="00975931" w:rsidP="000B3345">
      <w:pPr>
        <w:rPr>
          <w:rFonts w:ascii="Times New Roman" w:hAnsi="Times New Roman" w:cs="Times New Roman"/>
          <w:color w:val="auto"/>
          <w:sz w:val="28"/>
          <w:szCs w:val="28"/>
        </w:rPr>
      </w:pPr>
      <w:hyperlink r:id="rId12" w:history="1">
        <w:r w:rsidR="004C5DB3" w:rsidRPr="004C5DB3">
          <w:rPr>
            <w:rStyle w:val="afff4"/>
            <w:rFonts w:ascii="Times New Roman" w:hAnsi="Times New Roman" w:cs="Times New Roman"/>
            <w:sz w:val="28"/>
            <w:szCs w:val="28"/>
          </w:rPr>
          <w:t>https://parkgagarina.info/index.php/novosti/30747-polikliniki-bolnitsy-detskie-lagerya-i-dorogi-vlasti-samarskoj-oblasti-otdayut-v-kontsessiyu.html</w:t>
        </w:r>
      </w:hyperlink>
    </w:p>
    <w:p w:rsidR="0056630F" w:rsidRDefault="0056630F" w:rsidP="000B334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C5DB3" w:rsidRDefault="0056630F" w:rsidP="000B3345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630F">
        <w:rPr>
          <w:rFonts w:ascii="Times New Roman" w:hAnsi="Times New Roman" w:cs="Times New Roman"/>
          <w:b/>
          <w:color w:val="auto"/>
          <w:sz w:val="28"/>
          <w:szCs w:val="28"/>
        </w:rPr>
        <w:t>РФПИ будет вкладываться в проекты с участием только российских инвесторов</w:t>
      </w:r>
    </w:p>
    <w:p w:rsidR="0056630F" w:rsidRPr="0056630F" w:rsidRDefault="0056630F" w:rsidP="0056630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6630F">
        <w:rPr>
          <w:rFonts w:ascii="Times New Roman" w:hAnsi="Times New Roman" w:cs="Times New Roman"/>
          <w:color w:val="auto"/>
          <w:sz w:val="28"/>
          <w:szCs w:val="28"/>
        </w:rPr>
        <w:t>Российский фонд прямых инвестиций будет участвовать в проектах без зарубежных партнеров. Их участие гарантировало, что фонд будет вкладываться не в политические проекты, а в эффективные и доходные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6630F">
        <w:rPr>
          <w:rFonts w:ascii="Times New Roman" w:hAnsi="Times New Roman" w:cs="Times New Roman"/>
          <w:color w:val="auto"/>
          <w:sz w:val="28"/>
          <w:szCs w:val="28"/>
        </w:rPr>
        <w:t>Также совместно с Минфином РФПИ планирует создать Инфраструктурный фонд, который может начать работу уже в этом году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630F" w:rsidRPr="0056630F" w:rsidRDefault="00975931" w:rsidP="0056630F">
      <w:pPr>
        <w:rPr>
          <w:rFonts w:ascii="Times New Roman" w:hAnsi="Times New Roman" w:cs="Times New Roman"/>
          <w:color w:val="auto"/>
          <w:sz w:val="28"/>
          <w:szCs w:val="28"/>
        </w:rPr>
      </w:pPr>
      <w:hyperlink r:id="rId13" w:history="1">
        <w:r w:rsidR="0056630F" w:rsidRPr="0056630F">
          <w:rPr>
            <w:rStyle w:val="afff4"/>
            <w:rFonts w:ascii="Times New Roman" w:hAnsi="Times New Roman" w:cs="Times New Roman"/>
            <w:sz w:val="28"/>
            <w:szCs w:val="28"/>
          </w:rPr>
          <w:t>https://www.rbc.ru/economics/22/01/2020/5e286f079a79471e175553a0</w:t>
        </w:r>
      </w:hyperlink>
    </w:p>
    <w:p w:rsidR="0056630F" w:rsidRDefault="0056630F" w:rsidP="0056630F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6630F" w:rsidRDefault="0056630F" w:rsidP="000B3345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630F">
        <w:rPr>
          <w:rFonts w:ascii="Times New Roman" w:hAnsi="Times New Roman" w:cs="Times New Roman"/>
          <w:b/>
          <w:color w:val="auto"/>
          <w:sz w:val="28"/>
          <w:szCs w:val="28"/>
        </w:rPr>
        <w:t>Проект семи поликлиник в Новосибирске могут включить в федеральную программу</w:t>
      </w:r>
    </w:p>
    <w:p w:rsidR="0056630F" w:rsidRDefault="0056630F" w:rsidP="000B334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6630F">
        <w:rPr>
          <w:rFonts w:ascii="Times New Roman" w:hAnsi="Times New Roman" w:cs="Times New Roman"/>
          <w:color w:val="auto"/>
          <w:sz w:val="28"/>
          <w:szCs w:val="28"/>
        </w:rPr>
        <w:t xml:space="preserve">Проект строительства семи поликлиник в Новосибирской области, планируемый к реализации в рамках государственно-частного партнерства (ГЧП) с компанией группы </w:t>
      </w:r>
      <w:r w:rsidR="0097593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6630F">
        <w:rPr>
          <w:rFonts w:ascii="Times New Roman" w:hAnsi="Times New Roman" w:cs="Times New Roman"/>
          <w:color w:val="auto"/>
          <w:sz w:val="28"/>
          <w:szCs w:val="28"/>
        </w:rPr>
        <w:t>Вис</w:t>
      </w:r>
      <w:r w:rsidR="0097593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56630F">
        <w:rPr>
          <w:rFonts w:ascii="Times New Roman" w:hAnsi="Times New Roman" w:cs="Times New Roman"/>
          <w:color w:val="auto"/>
          <w:sz w:val="28"/>
          <w:szCs w:val="28"/>
        </w:rPr>
        <w:t>, могут осуществить в рамках федеральной программы по модернизации первичного звена здравоохранения.</w:t>
      </w:r>
    </w:p>
    <w:p w:rsidR="0056630F" w:rsidRPr="0056630F" w:rsidRDefault="0056630F" w:rsidP="0056630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6630F">
        <w:rPr>
          <w:rFonts w:ascii="Times New Roman" w:hAnsi="Times New Roman" w:cs="Times New Roman"/>
          <w:color w:val="auto"/>
          <w:sz w:val="28"/>
          <w:szCs w:val="28"/>
        </w:rPr>
        <w:t>Соглашение о государственно-частном партнерстве было заключено на десять с половиной лет. Как писал “Ъ”, стоимость строительства составит 7,4 млрд руб., регион вернет инвестору около 13 млрд руб. до 2029 года. В смену каждую поликлинику будут посещать 600-800 пациентов.</w:t>
      </w:r>
    </w:p>
    <w:p w:rsidR="0056630F" w:rsidRPr="0056630F" w:rsidRDefault="00975931" w:rsidP="000B3345">
      <w:pPr>
        <w:rPr>
          <w:rFonts w:ascii="Times New Roman" w:hAnsi="Times New Roman" w:cs="Times New Roman"/>
          <w:color w:val="auto"/>
          <w:sz w:val="28"/>
          <w:szCs w:val="28"/>
        </w:rPr>
      </w:pPr>
      <w:hyperlink r:id="rId14" w:history="1">
        <w:r w:rsidR="0056630F" w:rsidRPr="0056630F">
          <w:rPr>
            <w:rStyle w:val="afff4"/>
            <w:rFonts w:ascii="Times New Roman" w:hAnsi="Times New Roman" w:cs="Times New Roman"/>
            <w:sz w:val="28"/>
            <w:szCs w:val="28"/>
          </w:rPr>
          <w:t>https://www.kommersant.ru/doc/4226122</w:t>
        </w:r>
      </w:hyperlink>
      <w:r w:rsidR="0056630F" w:rsidRPr="005663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C5DB3" w:rsidRDefault="004C5DB3" w:rsidP="000B3345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5DB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Минтранс предложит включить программу ремонта и строительства мостов в </w:t>
      </w:r>
      <w:r w:rsidR="00975931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4C5DB3">
        <w:rPr>
          <w:rFonts w:ascii="Times New Roman" w:hAnsi="Times New Roman" w:cs="Times New Roman"/>
          <w:b/>
          <w:color w:val="auto"/>
          <w:sz w:val="28"/>
          <w:szCs w:val="28"/>
        </w:rPr>
        <w:t>дорожный</w:t>
      </w:r>
      <w:r w:rsidR="00975931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4C5DB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нацпроект</w:t>
      </w:r>
    </w:p>
    <w:p w:rsidR="004C5DB3" w:rsidRPr="004C5DB3" w:rsidRDefault="004C5DB3" w:rsidP="000B334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C5DB3">
        <w:rPr>
          <w:rFonts w:ascii="Times New Roman" w:hAnsi="Times New Roman" w:cs="Times New Roman"/>
          <w:color w:val="auto"/>
          <w:sz w:val="28"/>
          <w:szCs w:val="28"/>
        </w:rPr>
        <w:t xml:space="preserve">Минтранс РФ предложит внести в </w:t>
      </w:r>
      <w:r w:rsidR="0097593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4C5DB3">
        <w:rPr>
          <w:rFonts w:ascii="Times New Roman" w:hAnsi="Times New Roman" w:cs="Times New Roman"/>
          <w:color w:val="auto"/>
          <w:sz w:val="28"/>
          <w:szCs w:val="28"/>
        </w:rPr>
        <w:t>дорожный</w:t>
      </w:r>
      <w:r w:rsidR="0097593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4C5DB3">
        <w:rPr>
          <w:rFonts w:ascii="Times New Roman" w:hAnsi="Times New Roman" w:cs="Times New Roman"/>
          <w:color w:val="auto"/>
          <w:sz w:val="28"/>
          <w:szCs w:val="28"/>
        </w:rPr>
        <w:t xml:space="preserve"> нацпроект программу ремонта и строительства мостов и путепроводов на сумму в 1,115 трлн рублей, но других кардинальных изменений не ожидает. Таким образом министр транспорта РФ Евгений Дитрих прокомментировал сегодня журналистам одно из первых поручений нового премьер-министра РФ Михаила </w:t>
      </w:r>
      <w:proofErr w:type="spellStart"/>
      <w:r w:rsidRPr="004C5DB3">
        <w:rPr>
          <w:rFonts w:ascii="Times New Roman" w:hAnsi="Times New Roman" w:cs="Times New Roman"/>
          <w:color w:val="auto"/>
          <w:sz w:val="28"/>
          <w:szCs w:val="28"/>
        </w:rPr>
        <w:t>Мишустина</w:t>
      </w:r>
      <w:proofErr w:type="spellEnd"/>
      <w:r w:rsidRPr="004C5DB3">
        <w:rPr>
          <w:rFonts w:ascii="Times New Roman" w:hAnsi="Times New Roman" w:cs="Times New Roman"/>
          <w:color w:val="auto"/>
          <w:sz w:val="28"/>
          <w:szCs w:val="28"/>
        </w:rPr>
        <w:t xml:space="preserve"> по уточнению нацпроектов и программ.</w:t>
      </w:r>
    </w:p>
    <w:p w:rsidR="004C5DB3" w:rsidRPr="004C5DB3" w:rsidRDefault="00975931" w:rsidP="000B3345">
      <w:pPr>
        <w:rPr>
          <w:rFonts w:ascii="Times New Roman" w:hAnsi="Times New Roman" w:cs="Times New Roman"/>
          <w:color w:val="auto"/>
          <w:sz w:val="28"/>
          <w:szCs w:val="28"/>
        </w:rPr>
      </w:pPr>
      <w:hyperlink r:id="rId15" w:history="1">
        <w:r w:rsidR="004C5DB3" w:rsidRPr="004C5DB3">
          <w:rPr>
            <w:rStyle w:val="afff4"/>
            <w:rFonts w:ascii="Times New Roman" w:hAnsi="Times New Roman" w:cs="Times New Roman"/>
            <w:sz w:val="28"/>
            <w:szCs w:val="28"/>
          </w:rPr>
          <w:t>https://futurerussia.gov.ru/nacionalnye-proekty/mintrans-rf-predlagaet-dopolnit-doroznyj-nacproekt-za-scet-programmy-remonta-mostov</w:t>
        </w:r>
      </w:hyperlink>
    </w:p>
    <w:p w:rsidR="004C5DB3" w:rsidRDefault="004C5DB3" w:rsidP="000B334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E638E" w:rsidRDefault="00AE638E" w:rsidP="000B3345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638E">
        <w:rPr>
          <w:rFonts w:ascii="Times New Roman" w:hAnsi="Times New Roman" w:cs="Times New Roman"/>
          <w:b/>
          <w:color w:val="auto"/>
          <w:sz w:val="28"/>
          <w:szCs w:val="28"/>
        </w:rPr>
        <w:t>Московская область планирует заключить соглашения по 19 проектам ГЧП в 2020 году</w:t>
      </w:r>
    </w:p>
    <w:p w:rsidR="00AE638E" w:rsidRPr="00AE638E" w:rsidRDefault="00AE638E" w:rsidP="000B334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E638E">
        <w:rPr>
          <w:rFonts w:ascii="Times New Roman" w:hAnsi="Times New Roman" w:cs="Times New Roman"/>
          <w:color w:val="auto"/>
          <w:sz w:val="28"/>
          <w:szCs w:val="28"/>
        </w:rPr>
        <w:t xml:space="preserve">Согласно справке к докладу, речь идет о пяти проектах на общую сумму 107 млрд рублей. После их реализации в Подмосковье появится 550 рабочих мест. В число этих инициатив входят проекты по модернизации сетей теплоснабжения Пушкинского городского округа и строительству платной дороги, которая, в частности, пройдет через Видное, </w:t>
      </w:r>
      <w:proofErr w:type="spellStart"/>
      <w:r w:rsidRPr="00AE638E">
        <w:rPr>
          <w:rFonts w:ascii="Times New Roman" w:hAnsi="Times New Roman" w:cs="Times New Roman"/>
          <w:color w:val="auto"/>
          <w:sz w:val="28"/>
          <w:szCs w:val="28"/>
        </w:rPr>
        <w:t>Красково</w:t>
      </w:r>
      <w:proofErr w:type="spellEnd"/>
      <w:r w:rsidRPr="00AE638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AE638E">
        <w:rPr>
          <w:rFonts w:ascii="Times New Roman" w:hAnsi="Times New Roman" w:cs="Times New Roman"/>
          <w:color w:val="auto"/>
          <w:sz w:val="28"/>
          <w:szCs w:val="28"/>
        </w:rPr>
        <w:t>Томилино</w:t>
      </w:r>
      <w:proofErr w:type="spellEnd"/>
      <w:r w:rsidRPr="00AE638E">
        <w:rPr>
          <w:rFonts w:ascii="Times New Roman" w:hAnsi="Times New Roman" w:cs="Times New Roman"/>
          <w:color w:val="auto"/>
          <w:sz w:val="28"/>
          <w:szCs w:val="28"/>
        </w:rPr>
        <w:t xml:space="preserve"> и Железнодорожный.</w:t>
      </w:r>
    </w:p>
    <w:p w:rsidR="00AE638E" w:rsidRPr="00AE638E" w:rsidRDefault="00975931" w:rsidP="000B3345">
      <w:pPr>
        <w:rPr>
          <w:rFonts w:ascii="Times New Roman" w:hAnsi="Times New Roman" w:cs="Times New Roman"/>
          <w:color w:val="auto"/>
          <w:sz w:val="28"/>
          <w:szCs w:val="28"/>
        </w:rPr>
      </w:pPr>
      <w:hyperlink r:id="rId16" w:history="1">
        <w:r w:rsidR="00AE638E" w:rsidRPr="00AE638E">
          <w:rPr>
            <w:rStyle w:val="afff4"/>
            <w:rFonts w:ascii="Times New Roman" w:hAnsi="Times New Roman" w:cs="Times New Roman"/>
            <w:sz w:val="28"/>
            <w:szCs w:val="28"/>
          </w:rPr>
          <w:t>https://realty.interfax.ru/ru/news/articles/113993/</w:t>
        </w:r>
      </w:hyperlink>
    </w:p>
    <w:p w:rsidR="00AE638E" w:rsidRDefault="00AE638E" w:rsidP="000B334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638E" w:rsidRDefault="00AE638E" w:rsidP="000B3345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63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Мэр Новосибирска поручил ускорить заключение концессии для создания </w:t>
      </w:r>
      <w:r w:rsidR="00975931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AE638E">
        <w:rPr>
          <w:rFonts w:ascii="Times New Roman" w:hAnsi="Times New Roman" w:cs="Times New Roman"/>
          <w:b/>
          <w:color w:val="auto"/>
          <w:sz w:val="28"/>
          <w:szCs w:val="28"/>
        </w:rPr>
        <w:t>умных остановок</w:t>
      </w:r>
      <w:r w:rsidR="00975931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AE63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городе </w:t>
      </w:r>
    </w:p>
    <w:p w:rsidR="00AE638E" w:rsidRDefault="00AE638E" w:rsidP="000B334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E638E">
        <w:rPr>
          <w:rFonts w:ascii="Times New Roman" w:hAnsi="Times New Roman" w:cs="Times New Roman"/>
          <w:color w:val="auto"/>
          <w:sz w:val="28"/>
          <w:szCs w:val="28"/>
        </w:rPr>
        <w:t xml:space="preserve">Мэр Новосибирска Анатолий Локоть на расширенном аппаратном совещании поставил задачу в I квартале 2020 года выйти на заключение концессионных соглашений по созданию в городе сети </w:t>
      </w:r>
      <w:r w:rsidR="0097593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E638E">
        <w:rPr>
          <w:rFonts w:ascii="Times New Roman" w:hAnsi="Times New Roman" w:cs="Times New Roman"/>
          <w:color w:val="auto"/>
          <w:sz w:val="28"/>
          <w:szCs w:val="28"/>
        </w:rPr>
        <w:t>умных остановок</w:t>
      </w:r>
      <w:r w:rsidR="0097593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AE638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E638E">
        <w:rPr>
          <w:rFonts w:ascii="Times New Roman" w:hAnsi="Times New Roman" w:cs="Times New Roman"/>
          <w:color w:val="auto"/>
          <w:sz w:val="28"/>
          <w:szCs w:val="28"/>
        </w:rPr>
        <w:t xml:space="preserve">становки оснастят тревожной кнопкой 112, бесплатным </w:t>
      </w:r>
      <w:proofErr w:type="spellStart"/>
      <w:r w:rsidRPr="00AE638E">
        <w:rPr>
          <w:rFonts w:ascii="Times New Roman" w:hAnsi="Times New Roman" w:cs="Times New Roman"/>
          <w:color w:val="auto"/>
          <w:sz w:val="28"/>
          <w:szCs w:val="28"/>
        </w:rPr>
        <w:t>Wi-Fi</w:t>
      </w:r>
      <w:proofErr w:type="spellEnd"/>
      <w:r w:rsidRPr="00AE638E">
        <w:rPr>
          <w:rFonts w:ascii="Times New Roman" w:hAnsi="Times New Roman" w:cs="Times New Roman"/>
          <w:color w:val="auto"/>
          <w:sz w:val="28"/>
          <w:szCs w:val="28"/>
        </w:rPr>
        <w:t>, зарядками для телефонов, голосовым управлениям, сенсорным экраном и системой видеонаблюдения. Пассажиры смогут выйти на сайт мэрии, проложить маршруты и узнать о приближающемся к остановке общественном транспорте.</w:t>
      </w:r>
    </w:p>
    <w:p w:rsidR="00AE638E" w:rsidRDefault="00975931" w:rsidP="000B3345">
      <w:pPr>
        <w:rPr>
          <w:rFonts w:ascii="Times New Roman" w:hAnsi="Times New Roman" w:cs="Times New Roman"/>
          <w:color w:val="auto"/>
          <w:sz w:val="28"/>
          <w:szCs w:val="28"/>
        </w:rPr>
      </w:pPr>
      <w:hyperlink r:id="rId17" w:history="1">
        <w:r w:rsidR="00AE638E" w:rsidRPr="001268AF">
          <w:rPr>
            <w:rStyle w:val="afff4"/>
            <w:rFonts w:ascii="Times New Roman" w:hAnsi="Times New Roman" w:cs="Times New Roman"/>
            <w:sz w:val="28"/>
            <w:szCs w:val="28"/>
          </w:rPr>
          <w:t>https://novo-sibirsk.ru/news/238310/</w:t>
        </w:r>
      </w:hyperlink>
      <w:r w:rsidR="00AE63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C1C98" w:rsidRPr="000C1C98" w:rsidRDefault="000C1C98" w:rsidP="000B3345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1C9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Прямые иностранные инвестиции вернулись на стабильный уровень</w:t>
      </w:r>
    </w:p>
    <w:p w:rsidR="000C1C98" w:rsidRDefault="000C1C98" w:rsidP="000B334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C1C98">
        <w:rPr>
          <w:rFonts w:ascii="Times New Roman" w:hAnsi="Times New Roman" w:cs="Times New Roman"/>
          <w:color w:val="auto"/>
          <w:sz w:val="28"/>
          <w:szCs w:val="28"/>
        </w:rPr>
        <w:t>В 2019 г. иностранцы инвестировали в российские нефинансовые компании более $26,9 млрд. Это в 4,6 раза больше, чем годом ранее ($5,9 млрд), по данным Центробанка, и чуть меньше, чем в 2017 г. ($27,1 млрд). Чистый приток инвестиций в российскую экономику (разница между входящими и исходящими прямыми инвестициями) составил всего $0,6 млрд, но это первый положительный результат с 2016 г.</w:t>
      </w:r>
    </w:p>
    <w:p w:rsidR="000C1C98" w:rsidRDefault="00975931" w:rsidP="000B3345">
      <w:pPr>
        <w:rPr>
          <w:rFonts w:ascii="Times New Roman" w:hAnsi="Times New Roman" w:cs="Times New Roman"/>
          <w:color w:val="auto"/>
          <w:sz w:val="28"/>
          <w:szCs w:val="28"/>
        </w:rPr>
      </w:pPr>
      <w:hyperlink r:id="rId18" w:history="1">
        <w:r w:rsidR="000C1C98" w:rsidRPr="001268AF">
          <w:rPr>
            <w:rStyle w:val="afff4"/>
            <w:rFonts w:ascii="Times New Roman" w:hAnsi="Times New Roman" w:cs="Times New Roman"/>
            <w:sz w:val="28"/>
            <w:szCs w:val="28"/>
          </w:rPr>
          <w:t>https://www.vedomosti.ru/economics/articles/2020/01/19/820931-inostrannie-investitsii</w:t>
        </w:r>
      </w:hyperlink>
    </w:p>
    <w:bookmarkEnd w:id="0"/>
    <w:p w:rsidR="000C1C98" w:rsidRPr="00AE638E" w:rsidRDefault="000C1C98" w:rsidP="000B3345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0C1C98" w:rsidRPr="00AE638E" w:rsidSect="00ED5BA5">
      <w:footerReference w:type="default" r:id="rId19"/>
      <w:headerReference w:type="first" r:id="rId20"/>
      <w:footerReference w:type="first" r:id="rId21"/>
      <w:pgSz w:w="11906" w:h="16838" w:code="9"/>
      <w:pgMar w:top="1440" w:right="1080" w:bottom="1440" w:left="108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8A" w:rsidRDefault="00FE308A">
      <w:pPr>
        <w:spacing w:after="0" w:line="240" w:lineRule="auto"/>
      </w:pPr>
      <w:r>
        <w:separator/>
      </w:r>
    </w:p>
  </w:endnote>
  <w:endnote w:type="continuationSeparator" w:id="0">
    <w:p w:rsidR="00FE308A" w:rsidRDefault="00FE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90"/>
      <w:gridCol w:w="8216"/>
      <w:gridCol w:w="219"/>
      <w:gridCol w:w="219"/>
      <w:gridCol w:w="1092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975931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91"/>
      <w:gridCol w:w="8267"/>
      <w:gridCol w:w="202"/>
      <w:gridCol w:w="202"/>
      <w:gridCol w:w="1074"/>
    </w:tblGrid>
    <w:tr w:rsidR="006515E8" w:rsidTr="00543E9E">
      <w:trPr>
        <w:trHeight w:hRule="exact" w:val="288"/>
      </w:trPr>
      <w:tc>
        <w:tcPr>
          <w:tcW w:w="380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8056" w:type="dxa"/>
          <w:shd w:val="clear" w:color="auto" w:fill="EBEBEB" w:themeFill="background2"/>
          <w:vAlign w:val="center"/>
        </w:tcPr>
        <w:p w:rsidR="006515E8" w:rsidRDefault="00D0317D" w:rsidP="006515E8">
          <w:r>
            <w:t>1</w:t>
          </w:r>
        </w:p>
      </w:tc>
      <w:tc>
        <w:tcPr>
          <w:tcW w:w="197" w:type="dxa"/>
          <w:shd w:val="clear" w:color="auto" w:fill="17AE92" w:themeFill="accent1"/>
          <w:vAlign w:val="center"/>
        </w:tcPr>
        <w:p w:rsidR="006515E8" w:rsidRDefault="006515E8" w:rsidP="006515E8"/>
      </w:tc>
      <w:tc>
        <w:tcPr>
          <w:tcW w:w="197" w:type="dxa"/>
          <w:shd w:val="clear" w:color="auto" w:fill="F7A23F" w:themeFill="accent2"/>
          <w:vAlign w:val="center"/>
        </w:tcPr>
        <w:p w:rsidR="006515E8" w:rsidRDefault="006515E8" w:rsidP="006515E8"/>
      </w:tc>
      <w:tc>
        <w:tcPr>
          <w:tcW w:w="1047" w:type="dxa"/>
          <w:shd w:val="clear" w:color="auto" w:fill="6F7E84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8A" w:rsidRDefault="00FE308A">
      <w:pPr>
        <w:spacing w:after="0" w:line="240" w:lineRule="auto"/>
      </w:pPr>
      <w:r>
        <w:separator/>
      </w:r>
    </w:p>
  </w:footnote>
  <w:footnote w:type="continuationSeparator" w:id="0">
    <w:p w:rsidR="00FE308A" w:rsidRDefault="00FE3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38" w:rsidRPr="00724538" w:rsidRDefault="00ED5BA5" w:rsidP="00724538">
    <w:pPr>
      <w:pStyle w:val="a8"/>
    </w:pPr>
    <w:r>
      <w:rPr>
        <w:noProof/>
        <w:lang w:eastAsia="ru-RU"/>
      </w:rPr>
      <w:drawing>
        <wp:inline distT="0" distB="0" distL="0" distR="0">
          <wp:extent cx="6186170" cy="1025525"/>
          <wp:effectExtent l="0" t="0" r="5080" b="3175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9C3757"/>
    <w:multiLevelType w:val="hybridMultilevel"/>
    <w:tmpl w:val="682A9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8A"/>
    <w:rsid w:val="00000A9D"/>
    <w:rsid w:val="0002564C"/>
    <w:rsid w:val="000707F9"/>
    <w:rsid w:val="000A0A1F"/>
    <w:rsid w:val="000A7C2A"/>
    <w:rsid w:val="000B2A35"/>
    <w:rsid w:val="000B3345"/>
    <w:rsid w:val="000C1C98"/>
    <w:rsid w:val="000D35C9"/>
    <w:rsid w:val="000E7013"/>
    <w:rsid w:val="00134C40"/>
    <w:rsid w:val="00143FD5"/>
    <w:rsid w:val="00156EF1"/>
    <w:rsid w:val="001855E0"/>
    <w:rsid w:val="001929B2"/>
    <w:rsid w:val="00196A33"/>
    <w:rsid w:val="001A0D50"/>
    <w:rsid w:val="001B5F27"/>
    <w:rsid w:val="001E5353"/>
    <w:rsid w:val="001F73E2"/>
    <w:rsid w:val="002229ED"/>
    <w:rsid w:val="002705B7"/>
    <w:rsid w:val="002911F1"/>
    <w:rsid w:val="002A58A9"/>
    <w:rsid w:val="002A76FB"/>
    <w:rsid w:val="002C2563"/>
    <w:rsid w:val="00310641"/>
    <w:rsid w:val="00321F6A"/>
    <w:rsid w:val="00343FBB"/>
    <w:rsid w:val="00350968"/>
    <w:rsid w:val="00360B65"/>
    <w:rsid w:val="0037096C"/>
    <w:rsid w:val="00391C63"/>
    <w:rsid w:val="003D0FBD"/>
    <w:rsid w:val="003D4002"/>
    <w:rsid w:val="003E400A"/>
    <w:rsid w:val="00401E15"/>
    <w:rsid w:val="00447438"/>
    <w:rsid w:val="00475A2C"/>
    <w:rsid w:val="0047766A"/>
    <w:rsid w:val="0048054C"/>
    <w:rsid w:val="00480808"/>
    <w:rsid w:val="004B4122"/>
    <w:rsid w:val="004B5284"/>
    <w:rsid w:val="004C5DB3"/>
    <w:rsid w:val="004D6307"/>
    <w:rsid w:val="00514489"/>
    <w:rsid w:val="00543E9E"/>
    <w:rsid w:val="00553A7D"/>
    <w:rsid w:val="00565E2F"/>
    <w:rsid w:val="0056630F"/>
    <w:rsid w:val="0056701C"/>
    <w:rsid w:val="005B526B"/>
    <w:rsid w:val="005B65F3"/>
    <w:rsid w:val="005B66EA"/>
    <w:rsid w:val="005C7F0A"/>
    <w:rsid w:val="005D7779"/>
    <w:rsid w:val="005E5E2B"/>
    <w:rsid w:val="0061224B"/>
    <w:rsid w:val="00612DB5"/>
    <w:rsid w:val="006515E8"/>
    <w:rsid w:val="00687B11"/>
    <w:rsid w:val="006A2D04"/>
    <w:rsid w:val="006B0B08"/>
    <w:rsid w:val="006B3A45"/>
    <w:rsid w:val="006B7882"/>
    <w:rsid w:val="006C2695"/>
    <w:rsid w:val="006F1118"/>
    <w:rsid w:val="0070445E"/>
    <w:rsid w:val="00706FC4"/>
    <w:rsid w:val="00711400"/>
    <w:rsid w:val="00717B43"/>
    <w:rsid w:val="00724538"/>
    <w:rsid w:val="00741FDE"/>
    <w:rsid w:val="00751811"/>
    <w:rsid w:val="00766139"/>
    <w:rsid w:val="00771D65"/>
    <w:rsid w:val="0078140C"/>
    <w:rsid w:val="007B72D8"/>
    <w:rsid w:val="007E1DC5"/>
    <w:rsid w:val="008100C8"/>
    <w:rsid w:val="008321D9"/>
    <w:rsid w:val="008347EF"/>
    <w:rsid w:val="00857352"/>
    <w:rsid w:val="00864A7F"/>
    <w:rsid w:val="00896700"/>
    <w:rsid w:val="008A3202"/>
    <w:rsid w:val="008B6FBD"/>
    <w:rsid w:val="008F574F"/>
    <w:rsid w:val="00925575"/>
    <w:rsid w:val="009258AC"/>
    <w:rsid w:val="009420D1"/>
    <w:rsid w:val="00946252"/>
    <w:rsid w:val="00975931"/>
    <w:rsid w:val="0098300D"/>
    <w:rsid w:val="00985B5C"/>
    <w:rsid w:val="00995C07"/>
    <w:rsid w:val="009E37DE"/>
    <w:rsid w:val="009F0B81"/>
    <w:rsid w:val="00A35FEA"/>
    <w:rsid w:val="00A36F67"/>
    <w:rsid w:val="00A44A0E"/>
    <w:rsid w:val="00A6709B"/>
    <w:rsid w:val="00AB1341"/>
    <w:rsid w:val="00AE267E"/>
    <w:rsid w:val="00AE638E"/>
    <w:rsid w:val="00B06C71"/>
    <w:rsid w:val="00B201AB"/>
    <w:rsid w:val="00B46985"/>
    <w:rsid w:val="00B54183"/>
    <w:rsid w:val="00B70EFB"/>
    <w:rsid w:val="00B8163C"/>
    <w:rsid w:val="00B9569D"/>
    <w:rsid w:val="00BC3EF5"/>
    <w:rsid w:val="00BF473C"/>
    <w:rsid w:val="00C17A96"/>
    <w:rsid w:val="00C23BA8"/>
    <w:rsid w:val="00C3255D"/>
    <w:rsid w:val="00C46EC6"/>
    <w:rsid w:val="00C62B67"/>
    <w:rsid w:val="00C74B1A"/>
    <w:rsid w:val="00C76C3D"/>
    <w:rsid w:val="00C86D65"/>
    <w:rsid w:val="00C905B8"/>
    <w:rsid w:val="00CB2712"/>
    <w:rsid w:val="00CD5E29"/>
    <w:rsid w:val="00CE51E8"/>
    <w:rsid w:val="00D0317D"/>
    <w:rsid w:val="00D055AE"/>
    <w:rsid w:val="00D222BF"/>
    <w:rsid w:val="00D25C8E"/>
    <w:rsid w:val="00D263CA"/>
    <w:rsid w:val="00D35E92"/>
    <w:rsid w:val="00D4190C"/>
    <w:rsid w:val="00D611FE"/>
    <w:rsid w:val="00D66811"/>
    <w:rsid w:val="00D701B4"/>
    <w:rsid w:val="00D84DB9"/>
    <w:rsid w:val="00D879EB"/>
    <w:rsid w:val="00D906CA"/>
    <w:rsid w:val="00DA14CB"/>
    <w:rsid w:val="00DF7A95"/>
    <w:rsid w:val="00E12DAB"/>
    <w:rsid w:val="00E156BA"/>
    <w:rsid w:val="00E67C2F"/>
    <w:rsid w:val="00EB1088"/>
    <w:rsid w:val="00ED5BA5"/>
    <w:rsid w:val="00EE0CEF"/>
    <w:rsid w:val="00EE4599"/>
    <w:rsid w:val="00F036A2"/>
    <w:rsid w:val="00F07379"/>
    <w:rsid w:val="00F11A1F"/>
    <w:rsid w:val="00F236A5"/>
    <w:rsid w:val="00F30102"/>
    <w:rsid w:val="00F353FD"/>
    <w:rsid w:val="00F4343E"/>
    <w:rsid w:val="00F73D58"/>
    <w:rsid w:val="00F85CE8"/>
    <w:rsid w:val="00FA7455"/>
    <w:rsid w:val="00FB334A"/>
    <w:rsid w:val="00FB3B0A"/>
    <w:rsid w:val="00FB6E0E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A91AAC5A-BA02-468E-92D1-D3DBFC99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styleId="-13">
    <w:name w:val="Grid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20">
    <w:name w:val="Grid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230">
    <w:name w:val="Grid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24">
    <w:name w:val="Grid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25">
    <w:name w:val="Grid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26">
    <w:name w:val="Grid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33">
    <w:name w:val="Grid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-43">
    <w:name w:val="Grid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420">
    <w:name w:val="Grid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430">
    <w:name w:val="Grid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4">
    <w:name w:val="Grid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45">
    <w:name w:val="Grid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46">
    <w:name w:val="Grid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53">
    <w:name w:val="Grid Table 5 Dark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-520">
    <w:name w:val="Grid Table 5 Dark Accent 2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-530">
    <w:name w:val="Grid Table 5 Dark Accent 3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-54">
    <w:name w:val="Grid Table 5 Dark Accent 4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-55">
    <w:name w:val="Grid Table 5 Dark Accent 5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-56">
    <w:name w:val="Grid Table 5 Dark Accent 6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-63">
    <w:name w:val="Grid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620">
    <w:name w:val="Grid Table 6 Colorful Accent 2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630">
    <w:name w:val="Grid Table 6 Colorful Accent 3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64">
    <w:name w:val="Grid Table 6 Colorful Accent 4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65">
    <w:name w:val="Grid Table 6 Colorful Accent 5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6">
    <w:name w:val="Grid Table 6 Colorful Accent 6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7">
    <w:name w:val="Grid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unhideWhenUsed/>
    <w:qFormat/>
    <w:rsid w:val="002C2563"/>
    <w:pPr>
      <w:ind w:left="720"/>
      <w:contextualSpacing/>
    </w:pPr>
  </w:style>
  <w:style w:type="table" w:styleId="-1a">
    <w:name w:val="List Table 1 Light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121">
    <w:name w:val="List Table 1 Light Accent 2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131">
    <w:name w:val="List Table 1 Light Accent 3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140">
    <w:name w:val="List Table 1 Light Accent 4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150">
    <w:name w:val="List Table 1 Light Accent 5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160">
    <w:name w:val="List Table 1 Light Accent 6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2a">
    <w:name w:val="List Table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21">
    <w:name w:val="List Table 2 Accent 2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231">
    <w:name w:val="List Table 2 Accent 3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240">
    <w:name w:val="List Table 2 Accent 4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250">
    <w:name w:val="List Table 2 Accent 5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260">
    <w:name w:val="List Table 2 Accent 6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3a">
    <w:name w:val="List Table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421">
    <w:name w:val="List Table 4 Accent 2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431">
    <w:name w:val="List Table 4 Accent 3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40">
    <w:name w:val="List Table 4 Accent 4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450">
    <w:name w:val="List Table 4 Accent 5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460">
    <w:name w:val="List Table 4 Accent 6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5a">
    <w:name w:val="List Table 5 Dark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621">
    <w:name w:val="List Table 6 Colorful Accent 2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631">
    <w:name w:val="List Table 6 Colorful Accent 3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640">
    <w:name w:val="List Table 6 Colorful Accent 4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650">
    <w:name w:val="List Table 6 Colorful Accent 5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60">
    <w:name w:val="List Table 6 Colorful Accent 6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-70">
    <w:name w:val="List Table 7 Colorful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styleId="15">
    <w:name w:val="Plain Table 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Grid Table Light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5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6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7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9">
    <w:name w:val="Title"/>
    <w:basedOn w:val="a1"/>
    <w:next w:val="a1"/>
    <w:link w:val="afffffa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a">
    <w:name w:val="Название Знак"/>
    <w:basedOn w:val="a2"/>
    <w:link w:val="afffff9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b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c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d">
    <w:name w:val="Salutation"/>
    <w:basedOn w:val="a1"/>
    <w:next w:val="a1"/>
    <w:link w:val="afffffe"/>
    <w:uiPriority w:val="4"/>
    <w:qFormat/>
    <w:rsid w:val="00156EF1"/>
  </w:style>
  <w:style w:type="character" w:customStyle="1" w:styleId="afffffe">
    <w:name w:val="Приветствие Знак"/>
    <w:basedOn w:val="a2"/>
    <w:link w:val="afffffd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bc.ru/economics/22/01/2020/5e286f079a79471e175553a0" TargetMode="External"/><Relationship Id="rId18" Type="http://schemas.openxmlformats.org/officeDocument/2006/relationships/hyperlink" Target="https://www.vedomosti.ru/economics/articles/2020/01/19/820931-inostrannie-investitsii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parkgagarina.info/index.php/novosti/30747-polikliniki-bolnitsy-detskie-lagerya-i-dorogi-vlasti-samarskoj-oblasti-otdayut-v-kontsessiyu.html" TargetMode="External"/><Relationship Id="rId17" Type="http://schemas.openxmlformats.org/officeDocument/2006/relationships/hyperlink" Target="https://novo-sibirsk.ru/news/23831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alty.interfax.ru/ru/news/articles/113993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osinfra.ru/news/konkursy-za-1-19-anvara-obekty-vodosnabzenia-sistemy-fotovideofiksacii-gorodskoj-park-i-musoroperegruzocnaa-stancia" TargetMode="External"/><Relationship Id="rId5" Type="http://schemas.openxmlformats.org/officeDocument/2006/relationships/styles" Target="styles.xml"/><Relationship Id="rId15" Type="http://schemas.openxmlformats.org/officeDocument/2006/relationships/hyperlink" Target="https://futurerussia.gov.ru/nacionalnye-proekty/mintrans-rf-predlagaet-dopolnit-doroznyj-nacproekt-za-scet-programmy-remonta-most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osinfra.ru/news/opublikovan-doklad-o-razvitii-sfery-gcp-v-stranah-g20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ommersant.ru/doc/4226122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karabekova\AppData\Roaming\Microsoft\&#1064;&#1072;&#1073;&#1083;&#1086;&#1085;&#1099;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23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Карабекова Наида Сабировна</dc:creator>
  <cp:keywords/>
  <cp:lastModifiedBy>Карабекова Наида Сабировна</cp:lastModifiedBy>
  <cp:revision>5</cp:revision>
  <cp:lastPrinted>2019-02-04T08:02:00Z</cp:lastPrinted>
  <dcterms:created xsi:type="dcterms:W3CDTF">2020-01-27T09:05:00Z</dcterms:created>
  <dcterms:modified xsi:type="dcterms:W3CDTF">2020-01-27T09:36:00Z</dcterms:modified>
  <cp:contentStatus>ИНФОРМАЦИОННЫЙ ДАЙДЖЕСТ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